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0" w:type="dxa"/>
        <w:tblInd w:w="-512" w:type="dxa"/>
        <w:tblLook w:val="01E0" w:firstRow="1" w:lastRow="1" w:firstColumn="1" w:lastColumn="1" w:noHBand="0" w:noVBand="0"/>
      </w:tblPr>
      <w:tblGrid>
        <w:gridCol w:w="3590"/>
        <w:gridCol w:w="6380"/>
      </w:tblGrid>
      <w:tr w:rsidR="00BC0FAF" w:rsidRPr="00671DBC">
        <w:tc>
          <w:tcPr>
            <w:tcW w:w="3590" w:type="dxa"/>
          </w:tcPr>
          <w:p w:rsidR="00BC0FAF" w:rsidRPr="00671DBC" w:rsidRDefault="0047275F" w:rsidP="000E16D9">
            <w:pPr>
              <w:jc w:val="center"/>
              <w:rPr>
                <w:b/>
                <w:bCs/>
              </w:rPr>
            </w:pPr>
            <w:r w:rsidRPr="00671DBC">
              <w:rPr>
                <w:b/>
                <w:bCs/>
                <w:noProof/>
                <w:sz w:val="24"/>
                <w:lang w:val="en-US"/>
              </w:rPr>
              <mc:AlternateContent>
                <mc:Choice Requires="wps">
                  <w:drawing>
                    <wp:anchor distT="0" distB="0" distL="114300" distR="114300" simplePos="0" relativeHeight="251657728" behindDoc="0" locked="0" layoutInCell="1" allowOverlap="1">
                      <wp:simplePos x="0" y="0"/>
                      <wp:positionH relativeFrom="column">
                        <wp:posOffset>850265</wp:posOffset>
                      </wp:positionH>
                      <wp:positionV relativeFrom="paragraph">
                        <wp:posOffset>193675</wp:posOffset>
                      </wp:positionV>
                      <wp:extent cx="419100" cy="0"/>
                      <wp:effectExtent l="5080" t="8890" r="1397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2872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15.25pt" to="99.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E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"/>
                  </w:pict>
                </mc:Fallback>
              </mc:AlternateContent>
            </w:r>
            <w:r w:rsidR="00BC0FAF" w:rsidRPr="00671DBC">
              <w:rPr>
                <w:b/>
                <w:bCs/>
                <w:sz w:val="24"/>
              </w:rPr>
              <w:t>BỘ NỘI VỤ</w:t>
            </w:r>
          </w:p>
        </w:tc>
        <w:tc>
          <w:tcPr>
            <w:tcW w:w="6380" w:type="dxa"/>
          </w:tcPr>
          <w:p w:rsidR="00BC0FAF" w:rsidRPr="00671DBC" w:rsidRDefault="00BC0FAF" w:rsidP="000E16D9">
            <w:pPr>
              <w:jc w:val="center"/>
              <w:rPr>
                <w:b/>
                <w:bCs/>
                <w:sz w:val="24"/>
              </w:rPr>
            </w:pPr>
            <w:r w:rsidRPr="00671DBC">
              <w:rPr>
                <w:b/>
                <w:bCs/>
                <w:sz w:val="24"/>
              </w:rPr>
              <w:t>CỘNG HOÀ XÃ HỘI CHỦ NGHĨA VIỆT NAM</w:t>
            </w:r>
          </w:p>
          <w:p w:rsidR="00BC0FAF" w:rsidRPr="00671DBC" w:rsidRDefault="00BC0FAF" w:rsidP="000E16D9">
            <w:pPr>
              <w:jc w:val="center"/>
              <w:rPr>
                <w:b/>
                <w:bCs/>
                <w:sz w:val="26"/>
              </w:rPr>
            </w:pPr>
            <w:r w:rsidRPr="00671DBC">
              <w:rPr>
                <w:b/>
                <w:bCs/>
                <w:sz w:val="26"/>
              </w:rPr>
              <w:t>Độc lập - Tự do - Hạnh phúc</w:t>
            </w:r>
          </w:p>
          <w:p w:rsidR="00BC0FAF" w:rsidRPr="00671DBC" w:rsidRDefault="0047275F" w:rsidP="00107729">
            <w:pPr>
              <w:rPr>
                <w:b/>
                <w:bCs/>
              </w:rPr>
            </w:pPr>
            <w:r w:rsidRPr="00671DBC">
              <w:rPr>
                <w:b/>
                <w:bCs/>
                <w:noProof/>
                <w:lang w:val="en-US"/>
              </w:rPr>
              <mc:AlternateContent>
                <mc:Choice Requires="wps">
                  <w:drawing>
                    <wp:anchor distT="0" distB="0" distL="114300" distR="114300" simplePos="0" relativeHeight="251656704" behindDoc="0" locked="0" layoutInCell="1" allowOverlap="1">
                      <wp:simplePos x="0" y="0"/>
                      <wp:positionH relativeFrom="column">
                        <wp:posOffset>944880</wp:posOffset>
                      </wp:positionH>
                      <wp:positionV relativeFrom="paragraph">
                        <wp:posOffset>17780</wp:posOffset>
                      </wp:positionV>
                      <wp:extent cx="2019300" cy="0"/>
                      <wp:effectExtent l="7620" t="7620" r="11430"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A5537"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4pt" to="233.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YU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"/>
                  </w:pict>
                </mc:Fallback>
              </mc:AlternateContent>
            </w:r>
          </w:p>
        </w:tc>
      </w:tr>
      <w:tr w:rsidR="00BC0FAF" w:rsidRPr="00671DBC">
        <w:tc>
          <w:tcPr>
            <w:tcW w:w="3590" w:type="dxa"/>
          </w:tcPr>
          <w:p w:rsidR="00BC0FAF" w:rsidRPr="00671DBC" w:rsidRDefault="00BC0FAF" w:rsidP="004A75D3">
            <w:pPr>
              <w:jc w:val="center"/>
              <w:rPr>
                <w:bCs/>
              </w:rPr>
            </w:pPr>
            <w:r w:rsidRPr="00671DBC">
              <w:rPr>
                <w:bCs/>
                <w:sz w:val="26"/>
              </w:rPr>
              <w:t xml:space="preserve">Số: </w:t>
            </w:r>
            <w:r w:rsidR="004A75D3" w:rsidRPr="00671DBC">
              <w:rPr>
                <w:bCs/>
                <w:sz w:val="26"/>
              </w:rPr>
              <w:t xml:space="preserve">        </w:t>
            </w:r>
            <w:r w:rsidRPr="00671DBC">
              <w:rPr>
                <w:bCs/>
                <w:sz w:val="26"/>
              </w:rPr>
              <w:t>/TTr-BNV</w:t>
            </w:r>
          </w:p>
        </w:tc>
        <w:tc>
          <w:tcPr>
            <w:tcW w:w="6380" w:type="dxa"/>
          </w:tcPr>
          <w:p w:rsidR="00BC0FAF" w:rsidRPr="00671DBC" w:rsidRDefault="00BC0FAF" w:rsidP="004A75D3">
            <w:pPr>
              <w:jc w:val="center"/>
              <w:rPr>
                <w:bCs/>
                <w:i/>
              </w:rPr>
            </w:pPr>
            <w:r w:rsidRPr="00671DBC">
              <w:rPr>
                <w:bCs/>
                <w:i/>
              </w:rPr>
              <w:t xml:space="preserve">Hà Nội, ngày </w:t>
            </w:r>
            <w:r w:rsidR="00C034DC" w:rsidRPr="00671DBC">
              <w:rPr>
                <w:bCs/>
                <w:i/>
              </w:rPr>
              <w:t xml:space="preserve"> </w:t>
            </w:r>
            <w:r w:rsidR="004A75D3" w:rsidRPr="00671DBC">
              <w:rPr>
                <w:bCs/>
                <w:i/>
              </w:rPr>
              <w:t xml:space="preserve">  </w:t>
            </w:r>
            <w:r w:rsidR="00C034DC" w:rsidRPr="00671DBC">
              <w:rPr>
                <w:bCs/>
                <w:i/>
              </w:rPr>
              <w:t xml:space="preserve"> </w:t>
            </w:r>
            <w:r w:rsidRPr="00671DBC">
              <w:rPr>
                <w:bCs/>
                <w:i/>
              </w:rPr>
              <w:t xml:space="preserve"> tháng </w:t>
            </w:r>
            <w:r w:rsidR="00A24E96" w:rsidRPr="00671DBC">
              <w:rPr>
                <w:bCs/>
                <w:i/>
              </w:rPr>
              <w:t xml:space="preserve"> </w:t>
            </w:r>
            <w:r w:rsidR="004A75D3" w:rsidRPr="00671DBC">
              <w:rPr>
                <w:bCs/>
                <w:i/>
              </w:rPr>
              <w:t xml:space="preserve">  năm 2020</w:t>
            </w:r>
          </w:p>
        </w:tc>
      </w:tr>
    </w:tbl>
    <w:p w:rsidR="00BC0FAF" w:rsidRPr="00671DBC" w:rsidRDefault="00BC0FAF" w:rsidP="00BC0FAF">
      <w:pPr>
        <w:spacing w:line="360" w:lineRule="auto"/>
        <w:jc w:val="both"/>
        <w:rPr>
          <w:b/>
          <w:bCs/>
          <w:i/>
          <w:sz w:val="2"/>
        </w:rPr>
      </w:pPr>
    </w:p>
    <w:p w:rsidR="00F46955" w:rsidRPr="0075068C" w:rsidRDefault="003A58EA" w:rsidP="00F46955">
      <w:pPr>
        <w:rPr>
          <w:bCs/>
          <w:i/>
          <w:lang w:val="pt-PT"/>
        </w:rPr>
      </w:pPr>
      <w:r w:rsidRPr="00671DBC">
        <w:rPr>
          <w:bCs/>
          <w:i/>
        </w:rPr>
        <w:t xml:space="preserve">  </w:t>
      </w:r>
      <w:r w:rsidR="002055D8">
        <w:rPr>
          <w:bCs/>
          <w:i/>
          <w:lang w:val="pt-PT"/>
        </w:rPr>
        <w:t>(Dự thảo 10</w:t>
      </w:r>
      <w:r w:rsidR="00F46955">
        <w:rPr>
          <w:bCs/>
          <w:i/>
          <w:lang w:val="pt-PT"/>
        </w:rPr>
        <w:t>/9/2020)</w:t>
      </w:r>
    </w:p>
    <w:p w:rsidR="00A24E96" w:rsidRPr="00671DBC" w:rsidRDefault="00A24E96" w:rsidP="00246C41">
      <w:pPr>
        <w:rPr>
          <w:bCs/>
          <w:i/>
        </w:rPr>
      </w:pPr>
    </w:p>
    <w:p w:rsidR="00BC0FAF" w:rsidRPr="00671DBC" w:rsidRDefault="00BC0FAF" w:rsidP="00BC0FAF">
      <w:pPr>
        <w:jc w:val="center"/>
        <w:rPr>
          <w:b/>
          <w:bCs/>
        </w:rPr>
      </w:pPr>
      <w:r w:rsidRPr="00671DBC">
        <w:rPr>
          <w:b/>
          <w:bCs/>
        </w:rPr>
        <w:t>TỜ TRÌNH</w:t>
      </w:r>
    </w:p>
    <w:p w:rsidR="004A75D3" w:rsidRPr="00671DBC" w:rsidRDefault="002055D8" w:rsidP="00BC0FAF">
      <w:pPr>
        <w:jc w:val="center"/>
        <w:rPr>
          <w:b/>
          <w:bCs/>
        </w:rPr>
      </w:pPr>
      <w:r>
        <w:rPr>
          <w:b/>
          <w:bCs/>
        </w:rPr>
        <w:t>v</w:t>
      </w:r>
      <w:r w:rsidR="00BC0FAF" w:rsidRPr="00671DBC">
        <w:rPr>
          <w:b/>
          <w:bCs/>
        </w:rPr>
        <w:t xml:space="preserve">ề </w:t>
      </w:r>
      <w:r>
        <w:rPr>
          <w:b/>
          <w:bCs/>
        </w:rPr>
        <w:t>dự thảo</w:t>
      </w:r>
      <w:r w:rsidR="00BC0FAF" w:rsidRPr="00671DBC">
        <w:rPr>
          <w:b/>
          <w:bCs/>
        </w:rPr>
        <w:t xml:space="preserve"> Nghị định sửa đổi, bổ sung một số </w:t>
      </w:r>
      <w:r w:rsidR="004A75D3" w:rsidRPr="00671DBC">
        <w:rPr>
          <w:b/>
          <w:bCs/>
        </w:rPr>
        <w:t xml:space="preserve">điều của </w:t>
      </w:r>
    </w:p>
    <w:p w:rsidR="00A83792" w:rsidRPr="00671DBC" w:rsidRDefault="004A75D3" w:rsidP="00BC0FAF">
      <w:pPr>
        <w:jc w:val="center"/>
        <w:rPr>
          <w:b/>
          <w:bCs/>
        </w:rPr>
      </w:pPr>
      <w:r w:rsidRPr="00671DBC">
        <w:rPr>
          <w:b/>
          <w:bCs/>
        </w:rPr>
        <w:t xml:space="preserve">Nghị định số 101/2017/NĐ-CP ngày 01 tháng 9 năm 2017 của Chính phủ về đào tạo, bồi dưỡng cán bộ, công chức, viên chức </w:t>
      </w:r>
    </w:p>
    <w:p w:rsidR="004A75D3" w:rsidRPr="00671DBC" w:rsidRDefault="0047275F" w:rsidP="00BC0FAF">
      <w:pPr>
        <w:jc w:val="center"/>
        <w:rPr>
          <w:b/>
          <w:bCs/>
        </w:rPr>
      </w:pPr>
      <w:r w:rsidRPr="00671DBC">
        <w:rPr>
          <w:noProof/>
          <w:lang w:val="en-US"/>
        </w:rPr>
        <mc:AlternateContent>
          <mc:Choice Requires="wps">
            <w:drawing>
              <wp:anchor distT="0" distB="0" distL="114300" distR="114300" simplePos="0" relativeHeight="251658752" behindDoc="0" locked="0" layoutInCell="1" allowOverlap="1">
                <wp:simplePos x="0" y="0"/>
                <wp:positionH relativeFrom="column">
                  <wp:posOffset>2403475</wp:posOffset>
                </wp:positionH>
                <wp:positionV relativeFrom="paragraph">
                  <wp:posOffset>73660</wp:posOffset>
                </wp:positionV>
                <wp:extent cx="908050" cy="0"/>
                <wp:effectExtent l="6985" t="6350" r="8890"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B8007"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5pt,5.8pt" to="260.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xk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"/>
            </w:pict>
          </mc:Fallback>
        </mc:AlternateContent>
      </w:r>
    </w:p>
    <w:p w:rsidR="00BC0FAF" w:rsidRPr="00671DBC" w:rsidRDefault="00BC0FAF" w:rsidP="00BC0FAF">
      <w:r w:rsidRPr="00671DBC">
        <w:tab/>
      </w:r>
    </w:p>
    <w:p w:rsidR="00BC0FAF" w:rsidRPr="00671DBC" w:rsidRDefault="009F21E4" w:rsidP="009F21E4">
      <w:pPr>
        <w:tabs>
          <w:tab w:val="center" w:pos="4536"/>
          <w:tab w:val="left" w:pos="6300"/>
        </w:tabs>
        <w:rPr>
          <w:b/>
        </w:rPr>
      </w:pPr>
      <w:r>
        <w:tab/>
      </w:r>
      <w:r w:rsidR="00BC0FAF" w:rsidRPr="00671DBC">
        <w:t>Kính gửi: Chính phủ</w:t>
      </w:r>
      <w:r>
        <w:tab/>
      </w:r>
    </w:p>
    <w:p w:rsidR="00BC0FAF" w:rsidRPr="00671DBC" w:rsidRDefault="00BC0FAF" w:rsidP="00BC0FAF">
      <w:pPr>
        <w:rPr>
          <w:sz w:val="18"/>
        </w:rPr>
      </w:pPr>
    </w:p>
    <w:p w:rsidR="007A5AF9" w:rsidRPr="005F7ECD" w:rsidRDefault="008A47D9" w:rsidP="005F7ECD">
      <w:pPr>
        <w:pStyle w:val="bodytext-p"/>
        <w:spacing w:beforeLines="60" w:before="144"/>
        <w:ind w:firstLine="720"/>
        <w:rPr>
          <w:color w:val="000000"/>
          <w:sz w:val="28"/>
          <w:szCs w:val="28"/>
        </w:rPr>
      </w:pPr>
      <w:r w:rsidRPr="005F7ECD">
        <w:rPr>
          <w:color w:val="000000"/>
          <w:sz w:val="28"/>
          <w:szCs w:val="28"/>
        </w:rPr>
        <w:t>Thực hiện c</w:t>
      </w:r>
      <w:r w:rsidR="00FB7A4E" w:rsidRPr="005F7ECD">
        <w:rPr>
          <w:color w:val="000000"/>
          <w:sz w:val="28"/>
          <w:szCs w:val="28"/>
        </w:rPr>
        <w:t>hương trình công tác của Chính phủ, Thủ tướng Chính phủ năm 2020</w:t>
      </w:r>
      <w:r w:rsidR="00F46955" w:rsidRPr="005F7ECD">
        <w:rPr>
          <w:color w:val="000000"/>
          <w:sz w:val="28"/>
          <w:szCs w:val="28"/>
        </w:rPr>
        <w:t xml:space="preserve">, </w:t>
      </w:r>
      <w:r w:rsidR="00E4342A" w:rsidRPr="005F7ECD">
        <w:rPr>
          <w:color w:val="000000"/>
          <w:sz w:val="28"/>
          <w:szCs w:val="28"/>
        </w:rPr>
        <w:t>Bộ Nội vụ được giao nhiệm vụ xây dựng Nghị định sửa đổi, bổ sung một số điều Nghị định số 101/2017/NĐ-CP ngày 01/9/2017 của Chính phủ về đào tạo, bồi dưỡ</w:t>
      </w:r>
      <w:r w:rsidRPr="005F7ECD">
        <w:rPr>
          <w:color w:val="000000"/>
          <w:sz w:val="28"/>
          <w:szCs w:val="28"/>
        </w:rPr>
        <w:t xml:space="preserve">ng cán bộ, công chức, viên chức, </w:t>
      </w:r>
      <w:r w:rsidR="00CC4D61" w:rsidRPr="005F7ECD">
        <w:rPr>
          <w:sz w:val="28"/>
          <w:szCs w:val="28"/>
          <w:lang w:val="pt-PT"/>
        </w:rPr>
        <w:t xml:space="preserve">Bộ Nội vụ </w:t>
      </w:r>
      <w:r w:rsidR="00F46955" w:rsidRPr="005F7ECD">
        <w:rPr>
          <w:sz w:val="28"/>
          <w:szCs w:val="28"/>
          <w:lang w:val="pt-PT"/>
        </w:rPr>
        <w:t>p</w:t>
      </w:r>
      <w:bookmarkStart w:id="0" w:name="_GoBack"/>
      <w:bookmarkEnd w:id="0"/>
      <w:r w:rsidR="00F46955" w:rsidRPr="005F7ECD">
        <w:rPr>
          <w:sz w:val="28"/>
          <w:szCs w:val="28"/>
          <w:lang w:val="pt-PT"/>
        </w:rPr>
        <w:t xml:space="preserve">hối hợp với Văn phòng Chính phủ và các cơ quan liên quan xây dựng nội dung dự thảo Nghị định </w:t>
      </w:r>
      <w:r w:rsidR="00F46955" w:rsidRPr="005F7ECD">
        <w:rPr>
          <w:color w:val="000000"/>
          <w:sz w:val="28"/>
          <w:szCs w:val="28"/>
        </w:rPr>
        <w:t>sửa đổi, bổ sung một số điều Nghị định số 101/2017/NĐ-CP ngày 01/9/2017 của Chính phủ về đào tạo, bồi dưỡ</w:t>
      </w:r>
      <w:r w:rsidR="00CC4D61" w:rsidRPr="005F7ECD">
        <w:rPr>
          <w:color w:val="000000"/>
          <w:sz w:val="28"/>
          <w:szCs w:val="28"/>
        </w:rPr>
        <w:t xml:space="preserve">ng cán bộ, công chức, viên chức </w:t>
      </w:r>
      <w:r w:rsidR="00F46955" w:rsidRPr="005F7ECD">
        <w:rPr>
          <w:sz w:val="28"/>
          <w:szCs w:val="28"/>
          <w:lang w:val="pt-PT"/>
        </w:rPr>
        <w:t xml:space="preserve"> (sau đây viết tắt là dự thảo Nghị định). </w:t>
      </w:r>
      <w:r w:rsidR="007A5AF9" w:rsidRPr="005F7ECD">
        <w:rPr>
          <w:sz w:val="28"/>
          <w:szCs w:val="28"/>
          <w:lang w:val="pt-PT"/>
        </w:rPr>
        <w:t>Căn cứ đề nghị của Bộ Nội vụ với Chính phủ, n</w:t>
      </w:r>
      <w:r w:rsidR="007D7D30" w:rsidRPr="005F7ECD">
        <w:rPr>
          <w:sz w:val="28"/>
          <w:szCs w:val="28"/>
          <w:lang w:val="pt-PT"/>
        </w:rPr>
        <w:t xml:space="preserve">gày      tháng      năm 2020 Văn phòng Chính có thông báo </w:t>
      </w:r>
      <w:r w:rsidR="007A5AF9" w:rsidRPr="005F7ECD">
        <w:rPr>
          <w:sz w:val="28"/>
          <w:szCs w:val="28"/>
          <w:lang w:val="pt-PT"/>
        </w:rPr>
        <w:t xml:space="preserve">đồng ý cho phép lùi thời gian trình dự thảo Nghị định này vào tháng 10 năm 2020. </w:t>
      </w:r>
      <w:r w:rsidR="00F46955" w:rsidRPr="005F7ECD">
        <w:rPr>
          <w:sz w:val="28"/>
          <w:szCs w:val="28"/>
          <w:lang w:val="pt-PT"/>
        </w:rPr>
        <w:t>Sau khi tiếp thu, giải trình ý kiến thẩm định của Bộ Tư pháp (tại Công văn số ..../BTP-PLHSHC ngày ..../3/2020), Bộ Nội vụ hoàn chỉnh dự thảo, báo cáo Chính phủ xem xét, ban hành Nghị định, như sau:</w:t>
      </w:r>
    </w:p>
    <w:p w:rsidR="00476860" w:rsidRPr="005F7ECD" w:rsidRDefault="005F7ECD" w:rsidP="005F7ECD">
      <w:pPr>
        <w:spacing w:beforeLines="60" w:before="144"/>
        <w:rPr>
          <w:b/>
          <w:bCs/>
          <w:lang w:val="pt-PT"/>
        </w:rPr>
      </w:pPr>
      <w:r>
        <w:rPr>
          <w:b/>
          <w:bCs/>
          <w:lang w:val="pt-PT"/>
        </w:rPr>
        <w:t xml:space="preserve">          </w:t>
      </w:r>
      <w:r w:rsidR="007A5AF9" w:rsidRPr="005F7ECD">
        <w:rPr>
          <w:b/>
          <w:bCs/>
          <w:lang w:val="pt-PT"/>
        </w:rPr>
        <w:t xml:space="preserve">I. </w:t>
      </w:r>
      <w:r w:rsidR="00C24DC3" w:rsidRPr="005F7ECD">
        <w:rPr>
          <w:b/>
          <w:bCs/>
          <w:lang w:val="pt-PT"/>
        </w:rPr>
        <w:t xml:space="preserve">SỰ CẦN THIẾT SỬA ĐỔI, BỔ SUNG </w:t>
      </w:r>
      <w:r w:rsidR="00476860" w:rsidRPr="005F7ECD">
        <w:rPr>
          <w:b/>
          <w:bCs/>
          <w:lang w:val="pt-PT"/>
        </w:rPr>
        <w:t>NGHỊ ĐỊNH</w:t>
      </w:r>
      <w:r w:rsidR="00C24DC3" w:rsidRPr="005F7ECD">
        <w:rPr>
          <w:b/>
          <w:bCs/>
          <w:lang w:val="pt-PT"/>
        </w:rPr>
        <w:t xml:space="preserve"> </w:t>
      </w:r>
    </w:p>
    <w:p w:rsidR="00DF5D14" w:rsidRPr="005F7ECD" w:rsidRDefault="00D21201" w:rsidP="005F7ECD">
      <w:pPr>
        <w:spacing w:beforeLines="60" w:before="144"/>
        <w:jc w:val="both"/>
        <w:rPr>
          <w:b/>
          <w:bCs/>
          <w:lang w:val="pt-PT"/>
        </w:rPr>
      </w:pPr>
      <w:r w:rsidRPr="005F7ECD">
        <w:rPr>
          <w:bCs/>
          <w:lang w:val="pt-PT"/>
        </w:rPr>
        <w:t xml:space="preserve">          </w:t>
      </w:r>
      <w:r w:rsidRPr="005F7ECD">
        <w:rPr>
          <w:b/>
          <w:bCs/>
          <w:lang w:val="pt-PT"/>
        </w:rPr>
        <w:t xml:space="preserve">1. </w:t>
      </w:r>
      <w:r w:rsidR="00DF5D14" w:rsidRPr="005F7ECD">
        <w:rPr>
          <w:b/>
          <w:bCs/>
          <w:lang w:val="pt-PT"/>
        </w:rPr>
        <w:t>Yêu cầu tính đồng bộ trong các quy định về cán bộ, công chức, viên chức</w:t>
      </w:r>
      <w:r w:rsidR="0044154F" w:rsidRPr="005F7ECD">
        <w:rPr>
          <w:b/>
          <w:bCs/>
          <w:lang w:val="pt-PT"/>
        </w:rPr>
        <w:t>:</w:t>
      </w:r>
    </w:p>
    <w:p w:rsidR="00D21201" w:rsidRPr="005F7ECD" w:rsidRDefault="00D21201" w:rsidP="005F7ECD">
      <w:pPr>
        <w:spacing w:beforeLines="60" w:before="144"/>
        <w:ind w:firstLine="709"/>
        <w:jc w:val="both"/>
        <w:rPr>
          <w:bCs/>
          <w:lang w:val="pt-PT"/>
        </w:rPr>
      </w:pPr>
      <w:r w:rsidRPr="005F7ECD">
        <w:rPr>
          <w:bCs/>
          <w:lang w:val="pt-PT"/>
        </w:rPr>
        <w:t>Năm 2020, Bộ Nội vụ được Chính phủ giao xây dựng các Nghị định hướng dẫn thi hành Luật sửa đổi, bổ sung một số điều</w:t>
      </w:r>
      <w:r w:rsidR="00E46EC0" w:rsidRPr="005F7ECD">
        <w:rPr>
          <w:bCs/>
          <w:lang w:val="pt-PT"/>
        </w:rPr>
        <w:t xml:space="preserve"> của</w:t>
      </w:r>
      <w:r w:rsidRPr="005F7ECD">
        <w:rPr>
          <w:bCs/>
          <w:lang w:val="pt-PT"/>
        </w:rPr>
        <w:t xml:space="preserve"> Luật Cán bộ công chức và Luật Viên chức, trong đó tập trung vào một số vấn đề lớn có liên quan đến nội dung quy định về tuyển dụng, sử dụng và quản lý</w:t>
      </w:r>
      <w:r w:rsidR="00E46EC0" w:rsidRPr="005F7ECD">
        <w:rPr>
          <w:bCs/>
          <w:lang w:val="pt-PT"/>
        </w:rPr>
        <w:t>,</w:t>
      </w:r>
      <w:r w:rsidR="00B77D80" w:rsidRPr="005F7ECD">
        <w:rPr>
          <w:bCs/>
          <w:lang w:val="pt-PT"/>
        </w:rPr>
        <w:t xml:space="preserve"> đánh giá,</w:t>
      </w:r>
      <w:r w:rsidR="00E46EC0" w:rsidRPr="005F7ECD">
        <w:rPr>
          <w:bCs/>
          <w:lang w:val="pt-PT"/>
        </w:rPr>
        <w:t xml:space="preserve"> </w:t>
      </w:r>
      <w:r w:rsidR="00B77D80" w:rsidRPr="005F7ECD">
        <w:rPr>
          <w:bCs/>
          <w:lang w:val="pt-PT"/>
        </w:rPr>
        <w:t xml:space="preserve">tiêu chuẩn chức danh lãnh đạo, quản lý, </w:t>
      </w:r>
      <w:r w:rsidR="00E46EC0" w:rsidRPr="005F7ECD">
        <w:rPr>
          <w:bCs/>
          <w:lang w:val="pt-PT"/>
        </w:rPr>
        <w:t>đào tạo, bồi dưỡng</w:t>
      </w:r>
      <w:r w:rsidR="00B77D80" w:rsidRPr="005F7ECD">
        <w:rPr>
          <w:bCs/>
          <w:lang w:val="pt-PT"/>
        </w:rPr>
        <w:t>...</w:t>
      </w:r>
      <w:r w:rsidRPr="005F7ECD">
        <w:rPr>
          <w:bCs/>
          <w:lang w:val="pt-PT"/>
        </w:rPr>
        <w:t xml:space="preserve"> </w:t>
      </w:r>
      <w:r w:rsidR="00E46EC0" w:rsidRPr="005F7ECD">
        <w:rPr>
          <w:bCs/>
          <w:lang w:val="pt-PT"/>
        </w:rPr>
        <w:t>cán bộ, công chức, viên chức.</w:t>
      </w:r>
      <w:r w:rsidR="00B77D80" w:rsidRPr="005F7ECD">
        <w:rPr>
          <w:bCs/>
          <w:lang w:val="pt-PT"/>
        </w:rPr>
        <w:t xml:space="preserve"> </w:t>
      </w:r>
      <w:r w:rsidRPr="005F7ECD">
        <w:rPr>
          <w:bCs/>
          <w:lang w:val="pt-PT"/>
        </w:rPr>
        <w:t xml:space="preserve">Do vậy, để bảo đảm đồng bộ giữa quy định </w:t>
      </w:r>
      <w:r w:rsidR="00B77D80" w:rsidRPr="005F7ECD">
        <w:rPr>
          <w:bCs/>
          <w:lang w:val="pt-PT"/>
        </w:rPr>
        <w:t xml:space="preserve">tại các Nghị định và các qui định hiện hành </w:t>
      </w:r>
      <w:r w:rsidRPr="005F7ECD">
        <w:rPr>
          <w:bCs/>
          <w:lang w:val="pt-PT"/>
        </w:rPr>
        <w:t xml:space="preserve">thì việc </w:t>
      </w:r>
      <w:r w:rsidRPr="005F7ECD">
        <w:rPr>
          <w:lang w:val="pt-PT"/>
        </w:rPr>
        <w:t xml:space="preserve">rà soát, sửa đổi, bổ sung các văn </w:t>
      </w:r>
      <w:r w:rsidR="00B77D80" w:rsidRPr="005F7ECD">
        <w:rPr>
          <w:lang w:val="pt-PT"/>
        </w:rPr>
        <w:t xml:space="preserve">bản quy phạm pháp luật về đào tạo, bồi dưỡng cán bộ, công chức, viên chức </w:t>
      </w:r>
      <w:r w:rsidR="00B77D80" w:rsidRPr="005F7ECD">
        <w:rPr>
          <w:bCs/>
          <w:lang w:val="pt-PT"/>
        </w:rPr>
        <w:t xml:space="preserve">(sau đây viết tắt là ĐTBDCBCCVC) </w:t>
      </w:r>
      <w:r w:rsidRPr="005F7ECD">
        <w:rPr>
          <w:spacing w:val="-4"/>
          <w:shd w:val="clear" w:color="auto" w:fill="FFFFFF"/>
          <w:lang w:val="pt-PT"/>
        </w:rPr>
        <w:t>là cần thiết.</w:t>
      </w:r>
    </w:p>
    <w:p w:rsidR="00DF5D14" w:rsidRPr="005F7ECD" w:rsidRDefault="00D21201" w:rsidP="005F7ECD">
      <w:pPr>
        <w:spacing w:beforeLines="60" w:before="144"/>
        <w:jc w:val="both"/>
        <w:rPr>
          <w:b/>
          <w:shd w:val="clear" w:color="auto" w:fill="FFFFFF"/>
          <w:lang w:val="pt-PT"/>
        </w:rPr>
      </w:pPr>
      <w:r w:rsidRPr="005F7ECD">
        <w:rPr>
          <w:b/>
          <w:shd w:val="clear" w:color="auto" w:fill="FFFFFF"/>
          <w:lang w:val="pt-PT"/>
        </w:rPr>
        <w:t xml:space="preserve">         </w:t>
      </w:r>
      <w:r w:rsidR="005F7ECD">
        <w:rPr>
          <w:b/>
          <w:shd w:val="clear" w:color="auto" w:fill="FFFFFF"/>
          <w:lang w:val="pt-PT"/>
        </w:rPr>
        <w:t xml:space="preserve"> </w:t>
      </w:r>
      <w:r w:rsidR="00E46EC0" w:rsidRPr="005F7ECD">
        <w:rPr>
          <w:b/>
          <w:shd w:val="clear" w:color="auto" w:fill="FFFFFF"/>
          <w:lang w:val="pt-PT"/>
        </w:rPr>
        <w:t>2</w:t>
      </w:r>
      <w:r w:rsidRPr="005F7ECD">
        <w:rPr>
          <w:b/>
          <w:shd w:val="clear" w:color="auto" w:fill="FFFFFF"/>
          <w:lang w:val="pt-PT"/>
        </w:rPr>
        <w:t>.</w:t>
      </w:r>
      <w:r w:rsidR="00E04093" w:rsidRPr="005F7ECD">
        <w:rPr>
          <w:b/>
          <w:shd w:val="clear" w:color="auto" w:fill="FFFFFF"/>
          <w:lang w:val="pt-PT"/>
        </w:rPr>
        <w:t xml:space="preserve"> </w:t>
      </w:r>
      <w:r w:rsidR="00DF5D14" w:rsidRPr="005F7ECD">
        <w:rPr>
          <w:b/>
          <w:shd w:val="clear" w:color="auto" w:fill="FFFFFF"/>
          <w:lang w:val="pt-PT"/>
        </w:rPr>
        <w:t>Những khó khăn, vướng mắc tồn tại trong quá trình thực hiện Nghị định số 101/2017/NĐ-CP ngày 01 tháng 9 năm 2017 của Chính phủ</w:t>
      </w:r>
      <w:r w:rsidR="0044154F" w:rsidRPr="005F7ECD">
        <w:rPr>
          <w:b/>
          <w:shd w:val="clear" w:color="auto" w:fill="FFFFFF"/>
          <w:lang w:val="pt-PT"/>
        </w:rPr>
        <w:t>:</w:t>
      </w:r>
    </w:p>
    <w:p w:rsidR="002055D8" w:rsidRPr="005F7ECD" w:rsidRDefault="002055D8" w:rsidP="005F7ECD">
      <w:pPr>
        <w:spacing w:beforeLines="60" w:before="144"/>
        <w:ind w:firstLine="658"/>
        <w:jc w:val="both"/>
      </w:pPr>
      <w:r w:rsidRPr="005F7ECD">
        <w:rPr>
          <w:shd w:val="clear" w:color="auto" w:fill="FFFFFF"/>
        </w:rPr>
        <w:t>Một là</w:t>
      </w:r>
      <w:r w:rsidRPr="005F7ECD">
        <w:t xml:space="preserve">, theo quy định tại khoản 2 Điều 3 Nghị định số 101/2017/NĐ-CP “Thực hiện phân công, phân cấp trong tổ chức bồi dưỡng theo tiêu chuẩn ngạch </w:t>
      </w:r>
      <w:r w:rsidRPr="005F7ECD">
        <w:lastRenderedPageBreak/>
        <w:t xml:space="preserve">công chức, tiêu chuẩn chức danh nghề nghiệp viên chức, tiêu chuẩn chức vụ lãnh đạo, quản lý; kết hợp phân công và cạnh tranh trong tổ chức bồi dưỡng theo yêu cầu của vị trí việc làm”. Tuy nhiên, trên thực tế, một số cơ sở đào tạo, bồi dưỡng và cơ sở đào tạo, nghiên cứu đang triển khai thực hiện nguyên tắc đào tạo, bồi dưỡng chưa đúng với quy định hiện hành, đặc biệt là nguyên tắc cạnh tranh. Do vậy cần sửa đổi, bổ sung quy định </w:t>
      </w:r>
      <w:r w:rsidRPr="005F7ECD">
        <w:rPr>
          <w:kern w:val="16"/>
        </w:rPr>
        <w:t>nguyên tắc cạnh tranh trên cơ sở năng lực, điều kiện, tiêu chuẩn của các cơ sở đào tạo, bồi dưỡng, các cơ sở đào tạo, nghiên cứu.</w:t>
      </w:r>
      <w:r w:rsidRPr="005F7ECD">
        <w:t xml:space="preserve"> </w:t>
      </w:r>
    </w:p>
    <w:p w:rsidR="002055D8" w:rsidRPr="005F7ECD" w:rsidRDefault="00B77D80" w:rsidP="005F7ECD">
      <w:pPr>
        <w:spacing w:beforeLines="60" w:before="144"/>
        <w:jc w:val="both"/>
      </w:pPr>
      <w:r w:rsidRPr="005F7ECD">
        <w:rPr>
          <w:shd w:val="clear" w:color="auto" w:fill="FFFFFF"/>
          <w:lang w:val="pt-PT"/>
        </w:rPr>
        <w:t xml:space="preserve">     </w:t>
      </w:r>
      <w:r w:rsidR="005C1270" w:rsidRPr="005F7ECD">
        <w:rPr>
          <w:shd w:val="clear" w:color="auto" w:fill="FFFFFF"/>
          <w:lang w:val="pt-PT"/>
        </w:rPr>
        <w:t xml:space="preserve"> </w:t>
      </w:r>
      <w:r w:rsidRPr="005F7ECD">
        <w:rPr>
          <w:shd w:val="clear" w:color="auto" w:fill="FFFFFF"/>
          <w:lang w:val="pt-PT"/>
        </w:rPr>
        <w:t xml:space="preserve">  </w:t>
      </w:r>
      <w:r w:rsidR="002055D8" w:rsidRPr="005F7ECD">
        <w:rPr>
          <w:lang w:val="pt-PT"/>
        </w:rPr>
        <w:t xml:space="preserve"> Hai là</w:t>
      </w:r>
      <w:r w:rsidR="002055D8" w:rsidRPr="005F7ECD">
        <w:t>, việc quy định nội dung ĐTBD “tin học” đã được quy định từ năm 1996, khi đó việc sử dụng máy tính và các phần mềm còn rất mới mẻ. Mục tiêu của nội dung bồi dưỡng này là giảng dạy cho cán bộ, công chức, viên chức về kỹ thuật sử dụng máy tính, các phần mềm tin học văn phòng cơ bản. Đồng thời nội dung thi về tin học trong các kỳ thi</w:t>
      </w:r>
      <w:r w:rsidR="00982B2D" w:rsidRPr="005F7ECD">
        <w:t xml:space="preserve"> tuyển dụng,</w:t>
      </w:r>
      <w:r w:rsidR="002055D8" w:rsidRPr="005F7ECD">
        <w:t xml:space="preserve"> nâng ngạch, thăng hạng còn rất nhiều bất cập. </w:t>
      </w:r>
      <w:r w:rsidR="00982B2D" w:rsidRPr="005F7ECD">
        <w:t xml:space="preserve">Việc đưa nội dung ĐTBD “công nghệ thông tin” thay “tin học” là sự đòi hỏi khách quan của việc </w:t>
      </w:r>
      <w:r w:rsidR="002055D8" w:rsidRPr="005F7ECD">
        <w:t>xây dựng, vận hành và triển khai Chính phủ điện tử, Chính phủ số, Chính quyền điện tử cũng như Cách mạng công nghệ lần thứ 4 đòi hỏi cần trang bị cho cán bộ, công chức, viên chức nền tảng kiến thức công nghệ thông tin, đáp ứng yêu cầu nhiệm vụ và hội nhập quốc tế; tạo cơ sở cho việc triển khai đào tạo, bồi dưỡng cán bộ, công chức, viên chức theo hình thức từ xa, phù hợp với thông lệ quốc tế.</w:t>
      </w:r>
    </w:p>
    <w:p w:rsidR="00193D3D" w:rsidRPr="005F7ECD" w:rsidRDefault="00193D3D" w:rsidP="005F7ECD">
      <w:pPr>
        <w:spacing w:beforeLines="60" w:before="144"/>
        <w:ind w:firstLine="658"/>
        <w:jc w:val="both"/>
      </w:pPr>
      <w:r w:rsidRPr="005F7ECD">
        <w:t>Ba là, lãnh đạo, quản lý đơn vị sự nghiệp công lập có chức năng, nhiệm vụ, quyền hạn và tính chất</w:t>
      </w:r>
      <w:r w:rsidR="002274BA" w:rsidRPr="005F7ECD">
        <w:t xml:space="preserve"> công việc khác biệt với</w:t>
      </w:r>
      <w:r w:rsidRPr="005F7ECD">
        <w:t xml:space="preserve"> lãnh đạo, quản lý của các cơ quan, đơn vị hành chính. Mặt khác, người làm việc trong bộ máy lãnh đạo, quản lý của đơn vị sự nghiệp công lập không còn là công chức theo quy định của Luật sửa đổi, bổ sung một số điều của Luật Cán bộ, công chức và Luật Viên chức. Do vậy, việc xây dựng, tổ chức giảng dạy và phân công quản lý các chương trình, tài liệu bồi dưỡng lãnh đạo, quản lý tại các đơn vị sự nghiệp công lập, là nhu cấp thiết</w:t>
      </w:r>
      <w:r w:rsidR="004636D5" w:rsidRPr="005F7ECD">
        <w:t>.</w:t>
      </w:r>
      <w:r w:rsidRPr="005F7ECD">
        <w:t xml:space="preserve"> </w:t>
      </w:r>
    </w:p>
    <w:p w:rsidR="004636D5" w:rsidRPr="005F7ECD" w:rsidRDefault="002274BA" w:rsidP="005F7ECD">
      <w:pPr>
        <w:spacing w:beforeLines="60" w:before="144"/>
        <w:ind w:firstLine="658"/>
        <w:jc w:val="both"/>
      </w:pPr>
      <w:r w:rsidRPr="005F7ECD">
        <w:t>Bốn là, do tính chất đặc thù của chuyên ngành quản lý như:</w:t>
      </w:r>
      <w:r w:rsidR="00193D3D" w:rsidRPr="005F7ECD">
        <w:t xml:space="preserve"> Viện kiểm sát nhân dân tối cao, Tòa án nhân dân tối cao, Bộ Tư pháp, Kiểm toán, Bộ Tài chính, Bộ Công thương, … có nhu cầu và thực tế đang triển khai giảng dạy </w:t>
      </w:r>
      <w:r w:rsidRPr="005F7ECD">
        <w:t>các chương trình, tài liệu</w:t>
      </w:r>
      <w:r w:rsidRPr="005F7ECD">
        <w:rPr>
          <w:lang w:val="en-US"/>
        </w:rPr>
        <w:t xml:space="preserve"> bồi dưỡng kiến thức chuyên ngành theo tiêu chuẩn ngạch công chức</w:t>
      </w:r>
      <w:r w:rsidRPr="005F7ECD">
        <w:rPr>
          <w:lang w:val="pt-PT"/>
        </w:rPr>
        <w:t xml:space="preserve"> có </w:t>
      </w:r>
      <w:r w:rsidR="00193D3D" w:rsidRPr="005F7ECD">
        <w:t xml:space="preserve">thời gian nhiều hơn so với các chương trình bồi dưỡng theo tiêu </w:t>
      </w:r>
      <w:r w:rsidRPr="005F7ECD">
        <w:t>chuẩn ngạch công chức</w:t>
      </w:r>
      <w:r w:rsidR="00193D3D" w:rsidRPr="005F7ECD">
        <w:t>.</w:t>
      </w:r>
      <w:r w:rsidRPr="005F7ECD">
        <w:t xml:space="preserve"> Do vậy, </w:t>
      </w:r>
      <w:r w:rsidR="00397128" w:rsidRPr="005F7ECD">
        <w:rPr>
          <w:lang w:val="pt-PT"/>
        </w:rPr>
        <w:t xml:space="preserve">việc xây dựng và phân công quản lý các chương trình, tài liệu bồi dưỡng </w:t>
      </w:r>
      <w:r w:rsidR="004636D5" w:rsidRPr="005F7ECD">
        <w:rPr>
          <w:lang w:val="en-US"/>
        </w:rPr>
        <w:t>kiến thức chuyên ngành theo tiêu chuẩn ngạch công chức là nhu cầu cấp thiết</w:t>
      </w:r>
      <w:r w:rsidR="004636D5" w:rsidRPr="005F7ECD">
        <w:rPr>
          <w:lang w:val="pt-PT"/>
        </w:rPr>
        <w:t xml:space="preserve"> </w:t>
      </w:r>
      <w:r w:rsidR="004636D5" w:rsidRPr="005F7ECD">
        <w:t>nhằm nâng cao chất lượng đào tạo, bồi dưỡng cán bộ, công chức, viên chức.</w:t>
      </w:r>
    </w:p>
    <w:p w:rsidR="004636D5" w:rsidRPr="005F7ECD" w:rsidRDefault="004636D5" w:rsidP="005F7ECD">
      <w:pPr>
        <w:spacing w:beforeLines="60" w:before="144"/>
        <w:ind w:firstLine="658"/>
        <w:jc w:val="both"/>
      </w:pPr>
      <w:r w:rsidRPr="005F7ECD">
        <w:t xml:space="preserve">Năm là, Đảng và Nhà nước đã ban hành nhiều chủ trương, chính sách nhằm thu hút nguồn nhân lực chất lượng cao, những người tài năng từ khu vực doanh nghiệp vào làm việc trong khu vực nhà nước. Tuy nhiên, triển khai các quy định này trong thực tế gặp nhiều khó khăn do các đối tượng này chưa đủ tiêu chuẩn về trình độ, chưa đáp ứng yêu cầu về chương trình, chứng chỉ bồi </w:t>
      </w:r>
      <w:r w:rsidRPr="005F7ECD">
        <w:lastRenderedPageBreak/>
        <w:t xml:space="preserve">dưỡng theo quy định trước khi được bổ nhiệm chức vụ công chức giữ chức vụ lãnh đạo, quản lý. Vì thế, việc bổ sung quy định áp dụng các chương trình bồi dưỡng lãnh đạo, quản lý cho những người đang giữ chức vụ, chức danh lãnh đạo, quản lý tại doanh nghiệp nhà nước nhằm thực hiện chủ trương liên thông trong công tác cán bộ theo quy định của Đảng, Nhà nước. </w:t>
      </w:r>
    </w:p>
    <w:p w:rsidR="004636D5" w:rsidRPr="005F7ECD" w:rsidRDefault="004636D5" w:rsidP="005F7ECD">
      <w:pPr>
        <w:spacing w:beforeLines="60" w:before="144"/>
        <w:ind w:firstLine="658"/>
        <w:jc w:val="both"/>
        <w:rPr>
          <w:lang w:val="en-US"/>
        </w:rPr>
      </w:pPr>
      <w:r w:rsidRPr="005F7ECD">
        <w:rPr>
          <w:lang w:val="en-US"/>
        </w:rPr>
        <w:t xml:space="preserve">Sáu là, việc triển khai các quy định liên quan đến chứng chỉ bồi dưỡng còn nhiều bất cập, chẳng hạn như: quy định về việc chứng chỉ các chương trình bồi dưỡng ở ngạch, hạng thấp hơn là điều kiện để được học chương trình bồi dưỡng cao hơn liền kề; chứng chỉ bồi dưỡng theo tiêu chuẩn ngạch công chức thay thế cho chứng chỉ bồi dưỡng theo tiêu chuẩn hạng viên chức tương ứng và ngược lại; chứng chỉ bồi dưỡng viên chức cùng hạng ở các chuyên ngành khác nhau có giá trị thay thế cho nhau. Các quy định này không phù hợp với nguyên tắc “bồi dưỡng phải căn cứ vào tiêu chuẩn ngạch công chức, tiêu chuẩn chức danh nghề nghiệp viên chức”, với quy định </w:t>
      </w:r>
      <w:r w:rsidRPr="005F7ECD">
        <w:rPr>
          <w:color w:val="000000"/>
          <w:lang w:val="pt-PT"/>
        </w:rPr>
        <w:t>quản lý công chức, viên chức theo vị trí việc làm</w:t>
      </w:r>
      <w:r w:rsidRPr="005F7ECD">
        <w:rPr>
          <w:lang w:val="en-US"/>
        </w:rPr>
        <w:t>, chưa đáp ứng được yêu cầu, mục tiêu nâng cao chất lượng đội ngũ cán bộ, công chức, viên chức của các bộ, ngành, địa phương.</w:t>
      </w:r>
    </w:p>
    <w:p w:rsidR="004636D5" w:rsidRPr="005F7ECD" w:rsidRDefault="004636D5" w:rsidP="005F7ECD">
      <w:pPr>
        <w:spacing w:beforeLines="60" w:before="144"/>
        <w:ind w:firstLine="658"/>
        <w:jc w:val="both"/>
        <w:rPr>
          <w:lang w:val="en-US"/>
        </w:rPr>
      </w:pPr>
      <w:r w:rsidRPr="005F7ECD">
        <w:rPr>
          <w:lang w:val="en-US"/>
        </w:rPr>
        <w:t>Bên cạnh đó, Luật sửa đổi, bổ sung một số điều của Luật Cán bộ, công chức và Luật Viên chức năm 2019 cũng có những nội dung mới, như: Tiếp nhận vào làm công chức không qua thi tuyển đối với một số trường hợp đặc biệt; tiếp nhận để bổ nhiệm làm công chức lãnh đạo, quản lý đối với người đang giữ chức vụ, chức danh quản lý trong doanh nghiệp nhà nước. Đối với những trường hợp này cần bổ sung các quy định sử dụng chứng chỉ theo hướng tạo điều kiện cho việc tiếp nhận, bổ nhiệm.</w:t>
      </w:r>
    </w:p>
    <w:p w:rsidR="008A2E06" w:rsidRPr="005F7ECD" w:rsidRDefault="004636D5" w:rsidP="005F7ECD">
      <w:pPr>
        <w:spacing w:beforeLines="60" w:before="144"/>
        <w:ind w:firstLine="658"/>
        <w:jc w:val="both"/>
        <w:rPr>
          <w:lang w:val="en-US"/>
        </w:rPr>
      </w:pPr>
      <w:r w:rsidRPr="005F7ECD">
        <w:rPr>
          <w:lang w:val="en-US"/>
        </w:rPr>
        <w:t>Bảy là, quy định tại Nghị định số 101/2017/NĐ-CP về quản lý và phân công tổ chức bồi dưỡng các chương trình, tài liệu bồi dưỡng lý luận chính trị theo tiêu chuẩn chức vụ lãnh đạo, quản lý; tiêu chuẩn ngạch, tiêu chuẩn chức danh cán bộ, công chức, viên chức trên thực tế gặp khó khăn trong triển khai thực tế thời gian qua, không phù hợp với tình hình thực tiễn. Học viện Chính trị Quốc gia Hồ Chí Minh, Trường Chính trị chủ yếu tổ chức bồi dưỡng lý luận chính trị trung cấp và cao cấp. Vì vậy, các quy định này cần phải điều chỉnh, sửa đổi nhằm phù hợp với tình hình thực tiễn.</w:t>
      </w:r>
    </w:p>
    <w:p w:rsidR="00AC60B7" w:rsidRPr="005F7ECD" w:rsidRDefault="004636D5" w:rsidP="005F7ECD">
      <w:pPr>
        <w:spacing w:beforeLines="60" w:before="144"/>
        <w:ind w:firstLine="720"/>
        <w:jc w:val="both"/>
        <w:rPr>
          <w:b/>
          <w:spacing w:val="-4"/>
          <w:lang w:val="pt-PT"/>
        </w:rPr>
      </w:pPr>
      <w:r w:rsidRPr="005F7ECD">
        <w:rPr>
          <w:b/>
          <w:spacing w:val="-4"/>
          <w:lang w:val="pt-PT"/>
        </w:rPr>
        <w:t>II. VỀ TÊN GỌI, BỐ CỤC</w:t>
      </w:r>
      <w:r w:rsidR="00AC60B7" w:rsidRPr="005F7ECD">
        <w:rPr>
          <w:b/>
          <w:spacing w:val="-4"/>
          <w:lang w:val="pt-PT"/>
        </w:rPr>
        <w:t xml:space="preserve"> VÀ NỘI DUNG DỰ THẢO NGHỊ ĐỊNH</w:t>
      </w:r>
    </w:p>
    <w:p w:rsidR="00AC60B7" w:rsidRPr="005F7ECD" w:rsidRDefault="00AC60B7" w:rsidP="005F7ECD">
      <w:pPr>
        <w:spacing w:beforeLines="60" w:before="144"/>
        <w:ind w:firstLine="720"/>
        <w:jc w:val="both"/>
        <w:rPr>
          <w:b/>
          <w:lang w:val="pt-PT"/>
        </w:rPr>
      </w:pPr>
      <w:r w:rsidRPr="005F7ECD">
        <w:rPr>
          <w:b/>
          <w:lang w:val="pt-PT"/>
        </w:rPr>
        <w:t>1. Về tên gọi của dự thảo Nghị định</w:t>
      </w:r>
      <w:r w:rsidR="0044154F" w:rsidRPr="005F7ECD">
        <w:rPr>
          <w:b/>
          <w:lang w:val="pt-PT"/>
        </w:rPr>
        <w:t>:</w:t>
      </w:r>
    </w:p>
    <w:p w:rsidR="00FB48F0" w:rsidRPr="005F7ECD" w:rsidRDefault="00AC60B7" w:rsidP="005F7ECD">
      <w:pPr>
        <w:spacing w:beforeLines="60" w:before="144"/>
        <w:jc w:val="both"/>
        <w:rPr>
          <w:color w:val="000000"/>
        </w:rPr>
      </w:pPr>
      <w:r w:rsidRPr="005F7ECD">
        <w:rPr>
          <w:lang w:val="pt-PT"/>
        </w:rPr>
        <w:tab/>
      </w:r>
      <w:r w:rsidR="00FB48F0" w:rsidRPr="005F7ECD">
        <w:t xml:space="preserve">Tên gọi của dự thảo: </w:t>
      </w:r>
      <w:r w:rsidRPr="005F7ECD">
        <w:t xml:space="preserve">Nghị định sửa đổi, bổ sung </w:t>
      </w:r>
      <w:r w:rsidR="00FB48F0" w:rsidRPr="005F7ECD">
        <w:rPr>
          <w:color w:val="000000"/>
        </w:rPr>
        <w:t>một số điều Nghị định số 101/2017/NĐ-CP ngày 01/9/2017 của Chính phủ về đào tạo, bồi dưỡng cán bộ, công chức, viên chức.</w:t>
      </w:r>
    </w:p>
    <w:p w:rsidR="004636D5" w:rsidRPr="005F7ECD" w:rsidRDefault="00AC60B7" w:rsidP="005F7ECD">
      <w:pPr>
        <w:spacing w:beforeLines="60" w:before="144"/>
        <w:jc w:val="both"/>
        <w:rPr>
          <w:b/>
        </w:rPr>
      </w:pPr>
      <w:r w:rsidRPr="005F7ECD">
        <w:rPr>
          <w:b/>
        </w:rPr>
        <w:tab/>
        <w:t xml:space="preserve">2. </w:t>
      </w:r>
      <w:r w:rsidR="004636D5" w:rsidRPr="005F7ECD">
        <w:rPr>
          <w:b/>
        </w:rPr>
        <w:t>Bố cục</w:t>
      </w:r>
      <w:r w:rsidRPr="005F7ECD">
        <w:rPr>
          <w:b/>
        </w:rPr>
        <w:t xml:space="preserve"> và nội dung của dự thảo Nghị định</w:t>
      </w:r>
      <w:r w:rsidR="0044154F" w:rsidRPr="005F7ECD">
        <w:rPr>
          <w:b/>
        </w:rPr>
        <w:t>:</w:t>
      </w:r>
    </w:p>
    <w:p w:rsidR="004636D5" w:rsidRPr="005F7ECD" w:rsidRDefault="004636D5" w:rsidP="005F7ECD">
      <w:pPr>
        <w:spacing w:beforeLines="60" w:before="144"/>
        <w:ind w:firstLine="728"/>
        <w:jc w:val="both"/>
      </w:pPr>
      <w:r w:rsidRPr="005F7ECD">
        <w:t>Dự thảo Nghị định gồm 04 Điều với nội dung cơ bản như sau:</w:t>
      </w:r>
    </w:p>
    <w:p w:rsidR="004636D5" w:rsidRPr="005F7ECD" w:rsidRDefault="004636D5" w:rsidP="005F7ECD">
      <w:pPr>
        <w:spacing w:beforeLines="60" w:before="144"/>
        <w:ind w:firstLine="539"/>
        <w:jc w:val="both"/>
        <w:rPr>
          <w:b/>
          <w:bCs/>
          <w:kern w:val="16"/>
        </w:rPr>
      </w:pPr>
      <w:r w:rsidRPr="005F7ECD">
        <w:rPr>
          <w:b/>
        </w:rPr>
        <w:lastRenderedPageBreak/>
        <w:tab/>
      </w:r>
      <w:r w:rsidRPr="005F7ECD">
        <w:rPr>
          <w:b/>
          <w:spacing w:val="-6"/>
        </w:rPr>
        <w:t>Điều 1</w:t>
      </w:r>
      <w:r w:rsidR="00281EB8" w:rsidRPr="005F7ECD">
        <w:rPr>
          <w:b/>
          <w:spacing w:val="-6"/>
        </w:rPr>
        <w:t>. S</w:t>
      </w:r>
      <w:r w:rsidRPr="005F7ECD">
        <w:rPr>
          <w:b/>
          <w:bCs/>
          <w:kern w:val="16"/>
        </w:rPr>
        <w:t>ửa đổi, bổ sung một số điều của Nghị định số 101/2017/NĐ-CP ngày 01 tháng 9 năm 2017 của Chính phủ về đào tạo, bồi dưỡng cán bộ, công chức, viên chức</w:t>
      </w:r>
    </w:p>
    <w:p w:rsidR="004636D5" w:rsidRPr="005F7ECD" w:rsidRDefault="004636D5" w:rsidP="005F7ECD">
      <w:pPr>
        <w:pStyle w:val="bodytext-p"/>
        <w:numPr>
          <w:ilvl w:val="0"/>
          <w:numId w:val="6"/>
        </w:numPr>
        <w:tabs>
          <w:tab w:val="left" w:pos="1008"/>
        </w:tabs>
        <w:spacing w:beforeLines="60" w:before="144"/>
        <w:ind w:left="0" w:firstLine="709"/>
        <w:rPr>
          <w:sz w:val="28"/>
          <w:szCs w:val="28"/>
        </w:rPr>
      </w:pPr>
      <w:r w:rsidRPr="005F7ECD">
        <w:rPr>
          <w:sz w:val="28"/>
          <w:szCs w:val="28"/>
        </w:rPr>
        <w:t>Sửa đổi đối tượng: không áp dụng Nghị định đối với người làm việc trong bộ máy lãnh đạo, quản lý của đơn vị sự nghiệp công lập;</w:t>
      </w:r>
    </w:p>
    <w:p w:rsidR="004636D5" w:rsidRPr="005F7ECD" w:rsidRDefault="004636D5" w:rsidP="005F7ECD">
      <w:pPr>
        <w:pStyle w:val="bodytext-p"/>
        <w:numPr>
          <w:ilvl w:val="0"/>
          <w:numId w:val="6"/>
        </w:numPr>
        <w:tabs>
          <w:tab w:val="left" w:pos="1008"/>
        </w:tabs>
        <w:spacing w:beforeLines="60" w:before="144"/>
        <w:ind w:left="0" w:firstLine="709"/>
        <w:rPr>
          <w:sz w:val="28"/>
          <w:szCs w:val="28"/>
        </w:rPr>
      </w:pPr>
      <w:r w:rsidRPr="005F7ECD">
        <w:rPr>
          <w:sz w:val="28"/>
          <w:szCs w:val="28"/>
        </w:rPr>
        <w:t>Điều chỉnh nguyên tắc đào tạo, bồi dưỡng;</w:t>
      </w:r>
    </w:p>
    <w:p w:rsidR="004636D5" w:rsidRPr="005F7ECD" w:rsidRDefault="004636D5" w:rsidP="005F7ECD">
      <w:pPr>
        <w:pStyle w:val="bodytext-p"/>
        <w:numPr>
          <w:ilvl w:val="0"/>
          <w:numId w:val="6"/>
        </w:numPr>
        <w:tabs>
          <w:tab w:val="left" w:pos="1008"/>
        </w:tabs>
        <w:spacing w:beforeLines="60" w:before="144"/>
        <w:ind w:left="0" w:firstLine="709"/>
        <w:rPr>
          <w:sz w:val="28"/>
          <w:szCs w:val="28"/>
        </w:rPr>
      </w:pPr>
      <w:r w:rsidRPr="005F7ECD">
        <w:rPr>
          <w:sz w:val="28"/>
          <w:szCs w:val="28"/>
        </w:rPr>
        <w:t>Điều chỉnh độ tuổi đi đào tạo sau đại học, phù hợp với quy định của Bộ Luật lao động 2019;</w:t>
      </w:r>
    </w:p>
    <w:p w:rsidR="004636D5" w:rsidRPr="005F7ECD" w:rsidRDefault="004636D5" w:rsidP="005F7ECD">
      <w:pPr>
        <w:pStyle w:val="bodytext-p"/>
        <w:numPr>
          <w:ilvl w:val="0"/>
          <w:numId w:val="6"/>
        </w:numPr>
        <w:tabs>
          <w:tab w:val="left" w:pos="1008"/>
        </w:tabs>
        <w:spacing w:beforeLines="60" w:before="144"/>
        <w:ind w:left="0" w:firstLine="709"/>
        <w:rPr>
          <w:sz w:val="28"/>
          <w:szCs w:val="28"/>
        </w:rPr>
      </w:pPr>
      <w:r w:rsidRPr="005F7ECD">
        <w:rPr>
          <w:sz w:val="28"/>
          <w:szCs w:val="28"/>
        </w:rPr>
        <w:t>Bổ sung, sửa đổi những quy định liên quan đến nội dung đào tạo; bổ sung các chương trình, tài liệu bồi dưỡng dành cho lãnh đạo, quản lý các đơn vị sự nghiệp công lập, chương trình, tài liệu</w:t>
      </w:r>
      <w:r w:rsidRPr="005F7ECD">
        <w:rPr>
          <w:sz w:val="28"/>
          <w:szCs w:val="28"/>
          <w:lang w:val="en-US"/>
        </w:rPr>
        <w:t xml:space="preserve"> bồi dưỡng kiến thức chuyên ngành theo tiêu chuẩn </w:t>
      </w:r>
      <w:r w:rsidRPr="005F7ECD">
        <w:rPr>
          <w:sz w:val="28"/>
          <w:szCs w:val="28"/>
        </w:rPr>
        <w:t>ngạch công chức; quy định áp dụng các chương trình bồi dưỡng lãnh đạo, quản lý cho những người đang giữ chức vụ, chức danh lãnh đạo, quản lý tại doanh nghiệp nhà nước;</w:t>
      </w:r>
    </w:p>
    <w:p w:rsidR="004636D5" w:rsidRPr="005F7ECD" w:rsidRDefault="004636D5" w:rsidP="005F7ECD">
      <w:pPr>
        <w:pStyle w:val="bodytext-p"/>
        <w:tabs>
          <w:tab w:val="left" w:pos="1008"/>
        </w:tabs>
        <w:spacing w:beforeLines="60" w:before="144"/>
        <w:ind w:left="14" w:firstLine="695"/>
        <w:rPr>
          <w:sz w:val="28"/>
          <w:szCs w:val="28"/>
        </w:rPr>
      </w:pPr>
      <w:r w:rsidRPr="005F7ECD">
        <w:rPr>
          <w:sz w:val="28"/>
          <w:szCs w:val="28"/>
        </w:rPr>
        <w:t>đ) Bổ sung quy định về quản lý chương trình bồi dưỡng, đảm bảo việc phân cấp, quản lý theo ngành lĩnh vực (các bộ, cơ quan ngang bộ, cơ quan thuộc Chính phủ, tổ chức chính trị - xã hội, Uỷ ban Nhân dân tỉnh);</w:t>
      </w:r>
    </w:p>
    <w:p w:rsidR="004636D5" w:rsidRPr="005F7ECD" w:rsidRDefault="004636D5" w:rsidP="005F7ECD">
      <w:pPr>
        <w:pStyle w:val="bodytext-p"/>
        <w:numPr>
          <w:ilvl w:val="0"/>
          <w:numId w:val="6"/>
        </w:numPr>
        <w:tabs>
          <w:tab w:val="left" w:pos="1008"/>
        </w:tabs>
        <w:spacing w:beforeLines="60" w:before="144"/>
        <w:ind w:left="0" w:firstLine="709"/>
        <w:rPr>
          <w:sz w:val="28"/>
          <w:szCs w:val="28"/>
        </w:rPr>
      </w:pPr>
      <w:r w:rsidRPr="005F7ECD">
        <w:rPr>
          <w:sz w:val="28"/>
          <w:szCs w:val="28"/>
        </w:rPr>
        <w:t>Quy định việc cấp và sử dụng chứng chỉ bồi dưỡng đối với các cơ sở đào tạo bồi dưỡng, các cơ sở đào tạo nghiên cứu;</w:t>
      </w:r>
    </w:p>
    <w:p w:rsidR="004636D5" w:rsidRPr="005F7ECD" w:rsidRDefault="004636D5" w:rsidP="005F7ECD">
      <w:pPr>
        <w:pStyle w:val="bodytext-p"/>
        <w:tabs>
          <w:tab w:val="left" w:pos="1008"/>
        </w:tabs>
        <w:spacing w:beforeLines="60" w:before="144"/>
        <w:ind w:left="42" w:firstLine="667"/>
        <w:rPr>
          <w:sz w:val="28"/>
          <w:szCs w:val="28"/>
        </w:rPr>
      </w:pPr>
      <w:r w:rsidRPr="005F7ECD">
        <w:rPr>
          <w:sz w:val="28"/>
          <w:szCs w:val="28"/>
        </w:rPr>
        <w:t>g) Quy định phân cấp tổ chức bồi dưỡng đảm bảo đồng bộ giữa nhiệm vụ quản lý chương trình và chức năng nhiệm vụ của cơ sở đào tạo, bồi dưỡng được giao;</w:t>
      </w:r>
    </w:p>
    <w:p w:rsidR="004636D5" w:rsidRPr="005F7ECD" w:rsidRDefault="004636D5" w:rsidP="005F7ECD">
      <w:pPr>
        <w:pStyle w:val="bodytext-p"/>
        <w:numPr>
          <w:ilvl w:val="0"/>
          <w:numId w:val="13"/>
        </w:numPr>
        <w:tabs>
          <w:tab w:val="left" w:pos="1036"/>
        </w:tabs>
        <w:spacing w:beforeLines="60" w:before="144"/>
        <w:ind w:left="14" w:firstLine="695"/>
        <w:rPr>
          <w:sz w:val="28"/>
          <w:szCs w:val="28"/>
        </w:rPr>
      </w:pPr>
      <w:r w:rsidRPr="005F7ECD">
        <w:rPr>
          <w:bCs/>
          <w:kern w:val="16"/>
          <w:sz w:val="28"/>
          <w:szCs w:val="28"/>
        </w:rPr>
        <w:t>Quy định về báo cáo các cơ sở đào tạo, nghiên cứu có đủ tiêu chuẩn, điều kiện tổ chức, thực hiện các chương trình đào tạo, bồi dưỡng cán bộ, công chức, viên chức về Bộ Nội vụ tổng hợp, theo dõi, quản lý;</w:t>
      </w:r>
    </w:p>
    <w:p w:rsidR="004636D5" w:rsidRPr="005F7ECD" w:rsidRDefault="004636D5" w:rsidP="005F7ECD">
      <w:pPr>
        <w:pStyle w:val="bodytext-p"/>
        <w:numPr>
          <w:ilvl w:val="0"/>
          <w:numId w:val="13"/>
        </w:numPr>
        <w:tabs>
          <w:tab w:val="left" w:pos="1036"/>
        </w:tabs>
        <w:spacing w:beforeLines="60" w:before="144"/>
        <w:ind w:left="14" w:firstLine="695"/>
        <w:rPr>
          <w:sz w:val="28"/>
          <w:szCs w:val="28"/>
        </w:rPr>
      </w:pPr>
      <w:r w:rsidRPr="005F7ECD">
        <w:rPr>
          <w:bCs/>
          <w:kern w:val="16"/>
          <w:sz w:val="28"/>
          <w:szCs w:val="28"/>
        </w:rPr>
        <w:t>Sửa đổi, bổ sung các quy định khác: Loại hình bồi dưỡng từ xa; tiêu chuẩn giảng viên thỉnh giảng, nhiệm vụ, quyền hạn của Bộ Nội vụ, các bộ, cơ quan ngang bộ, cơ quan thuộc Chính phủ, tổ chức chính trị - xã hội ở trung ương, Ủy ban nhân dân cấp tỉnh trong quản lý, thực hiện công tác đào tạo, bồi dưỡng cán bộ, công chức, viên chức.</w:t>
      </w:r>
    </w:p>
    <w:p w:rsidR="004636D5" w:rsidRPr="005F7ECD" w:rsidRDefault="004636D5" w:rsidP="005F7ECD">
      <w:pPr>
        <w:tabs>
          <w:tab w:val="left" w:pos="851"/>
        </w:tabs>
        <w:spacing w:beforeLines="60" w:before="144"/>
        <w:ind w:firstLine="709"/>
        <w:jc w:val="both"/>
        <w:rPr>
          <w:b/>
          <w:iCs/>
          <w:color w:val="222222"/>
          <w:shd w:val="clear" w:color="auto" w:fill="FFFFFF"/>
        </w:rPr>
      </w:pPr>
      <w:r w:rsidRPr="005F7ECD">
        <w:rPr>
          <w:b/>
          <w:iCs/>
          <w:color w:val="222222"/>
          <w:shd w:val="clear" w:color="auto" w:fill="FFFFFF"/>
        </w:rPr>
        <w:t>Điều 2</w:t>
      </w:r>
      <w:r w:rsidR="00281EB8" w:rsidRPr="005F7ECD">
        <w:rPr>
          <w:b/>
          <w:iCs/>
          <w:color w:val="222222"/>
          <w:shd w:val="clear" w:color="auto" w:fill="FFFFFF"/>
        </w:rPr>
        <w:t>.</w:t>
      </w:r>
      <w:r w:rsidRPr="005F7ECD">
        <w:rPr>
          <w:b/>
          <w:iCs/>
          <w:color w:val="222222"/>
          <w:shd w:val="clear" w:color="auto" w:fill="FFFFFF"/>
        </w:rPr>
        <w:t xml:space="preserve"> Điều khoản chuyển tiếp và áp dụng</w:t>
      </w:r>
    </w:p>
    <w:p w:rsidR="004636D5" w:rsidRPr="005F7ECD" w:rsidRDefault="004636D5" w:rsidP="005F7ECD">
      <w:pPr>
        <w:pStyle w:val="ListParagraph"/>
        <w:autoSpaceDE/>
        <w:autoSpaceDN/>
        <w:spacing w:beforeLines="60" w:before="144"/>
        <w:ind w:left="0" w:firstLine="714"/>
        <w:contextualSpacing w:val="0"/>
        <w:jc w:val="both"/>
        <w:rPr>
          <w:sz w:val="28"/>
          <w:szCs w:val="28"/>
          <w:lang w:val="en-GB"/>
        </w:rPr>
      </w:pPr>
      <w:r w:rsidRPr="005F7ECD">
        <w:rPr>
          <w:bCs/>
          <w:kern w:val="16"/>
          <w:sz w:val="28"/>
          <w:szCs w:val="28"/>
          <w:lang w:val="en-GB"/>
        </w:rPr>
        <w:t xml:space="preserve">a) </w:t>
      </w:r>
      <w:r w:rsidRPr="005F7ECD">
        <w:rPr>
          <w:sz w:val="28"/>
          <w:szCs w:val="28"/>
          <w:lang w:val="en-GB"/>
        </w:rPr>
        <w:t xml:space="preserve">Thực hiện các quy định về đào tạo, bồi dưỡng viên chức đối với </w:t>
      </w:r>
      <w:r w:rsidRPr="005F7ECD">
        <w:rPr>
          <w:bCs/>
          <w:kern w:val="16"/>
          <w:sz w:val="28"/>
          <w:szCs w:val="28"/>
          <w:lang w:val="en-GB"/>
        </w:rPr>
        <w:t>những người làm việc thuộc thẩm quyền quản lý của các tổ chức chính trị - xã hội - nghề nghiệp, tổ chức xã hội, tổ chức xã hội - nghề nghiệp; đơn vị sự nghiệp thuộc công ty trách nhiệm hữu hạn một thành viên do Nhà nước làm chủ sở hữu.</w:t>
      </w:r>
    </w:p>
    <w:p w:rsidR="004636D5" w:rsidRPr="005F7ECD" w:rsidRDefault="004636D5" w:rsidP="005F7ECD">
      <w:pPr>
        <w:tabs>
          <w:tab w:val="left" w:pos="851"/>
        </w:tabs>
        <w:spacing w:beforeLines="60" w:before="144"/>
        <w:ind w:firstLine="709"/>
        <w:jc w:val="both"/>
        <w:rPr>
          <w:b/>
          <w:iCs/>
          <w:color w:val="222222"/>
          <w:shd w:val="clear" w:color="auto" w:fill="FFFFFF"/>
        </w:rPr>
      </w:pPr>
      <w:r w:rsidRPr="005F7ECD">
        <w:rPr>
          <w:bCs/>
          <w:kern w:val="16"/>
        </w:rPr>
        <w:t>b) Tiếp tục thực hiện khoản 2 Điều 18 Nghị định số 101/2017/NĐ-CP ngày 01 tháng 9 năm 2017 cho đến hết ngày 30 tháng 6 năm 2022 khi các chương trình quy định tại khoản 8, khoản 9 Điều 17 Nghị định này được biên soạn, ban hành và tổ chức thực hiện.</w:t>
      </w:r>
    </w:p>
    <w:p w:rsidR="00281EB8" w:rsidRPr="005F7ECD" w:rsidRDefault="004636D5" w:rsidP="005F7ECD">
      <w:pPr>
        <w:tabs>
          <w:tab w:val="left" w:pos="851"/>
        </w:tabs>
        <w:spacing w:beforeLines="60" w:before="144"/>
        <w:ind w:firstLine="709"/>
        <w:jc w:val="both"/>
        <w:rPr>
          <w:b/>
          <w:bCs/>
          <w:kern w:val="16"/>
        </w:rPr>
      </w:pPr>
      <w:r w:rsidRPr="005F7ECD">
        <w:rPr>
          <w:b/>
          <w:bCs/>
          <w:kern w:val="16"/>
        </w:rPr>
        <w:lastRenderedPageBreak/>
        <w:t>Điều 3</w:t>
      </w:r>
      <w:r w:rsidR="00281EB8" w:rsidRPr="005F7ECD">
        <w:rPr>
          <w:b/>
          <w:bCs/>
          <w:kern w:val="16"/>
        </w:rPr>
        <w:t>. Hiệu lực thi hành</w:t>
      </w:r>
    </w:p>
    <w:p w:rsidR="002E700B" w:rsidRPr="005F7ECD" w:rsidRDefault="00281EB8" w:rsidP="005F7ECD">
      <w:pPr>
        <w:tabs>
          <w:tab w:val="left" w:pos="851"/>
        </w:tabs>
        <w:spacing w:beforeLines="60" w:before="144"/>
        <w:ind w:firstLine="709"/>
        <w:jc w:val="both"/>
        <w:rPr>
          <w:bCs/>
          <w:kern w:val="16"/>
        </w:rPr>
      </w:pPr>
      <w:r w:rsidRPr="005F7ECD">
        <w:rPr>
          <w:b/>
          <w:bCs/>
          <w:kern w:val="16"/>
        </w:rPr>
        <w:t>Điều 4. Trách nhiệm thi hành</w:t>
      </w:r>
    </w:p>
    <w:p w:rsidR="00BE0449" w:rsidRPr="005F7ECD" w:rsidRDefault="00BB6CDE" w:rsidP="005F7ECD">
      <w:pPr>
        <w:spacing w:beforeLines="60" w:before="144"/>
        <w:ind w:firstLine="720"/>
        <w:jc w:val="both"/>
        <w:rPr>
          <w:b/>
          <w:lang w:val="vi-VN"/>
        </w:rPr>
      </w:pPr>
      <w:r w:rsidRPr="005F7ECD">
        <w:rPr>
          <w:b/>
          <w:lang w:val="vi-VN"/>
        </w:rPr>
        <w:t>I</w:t>
      </w:r>
      <w:r w:rsidR="00281EB8" w:rsidRPr="005F7ECD">
        <w:rPr>
          <w:b/>
          <w:lang w:val="en-US"/>
        </w:rPr>
        <w:t>I</w:t>
      </w:r>
      <w:r w:rsidR="00DE008A" w:rsidRPr="005F7ECD">
        <w:rPr>
          <w:b/>
          <w:lang w:val="vi-VN"/>
        </w:rPr>
        <w:t>I</w:t>
      </w:r>
      <w:r w:rsidR="00BE0449" w:rsidRPr="005F7ECD">
        <w:rPr>
          <w:b/>
          <w:lang w:val="vi-VN"/>
        </w:rPr>
        <w:t xml:space="preserve">. </w:t>
      </w:r>
      <w:r w:rsidR="00DE008A" w:rsidRPr="005F7ECD">
        <w:rPr>
          <w:b/>
          <w:lang w:val="vi-VN"/>
        </w:rPr>
        <w:t xml:space="preserve">NỘI DUNG </w:t>
      </w:r>
      <w:r w:rsidR="000170B3" w:rsidRPr="005F7ECD">
        <w:rPr>
          <w:b/>
          <w:lang w:val="vi-VN"/>
        </w:rPr>
        <w:t xml:space="preserve">TIẾP THU, </w:t>
      </w:r>
      <w:r w:rsidR="00BE0449" w:rsidRPr="005F7ECD">
        <w:rPr>
          <w:b/>
          <w:lang w:val="vi-VN"/>
        </w:rPr>
        <w:t>GIẢI TRÌNH Ý KIẾN THẨM ĐỊNH CỦA BỘ TƯ PHÁP</w:t>
      </w:r>
    </w:p>
    <w:p w:rsidR="007B0465" w:rsidRPr="005F7ECD" w:rsidRDefault="007B0465" w:rsidP="005F7ECD">
      <w:pPr>
        <w:spacing w:beforeLines="60" w:before="144"/>
        <w:ind w:firstLine="720"/>
        <w:jc w:val="both"/>
        <w:rPr>
          <w:b/>
          <w:lang w:val="vi-VN"/>
        </w:rPr>
      </w:pPr>
      <w:r w:rsidRPr="005F7ECD">
        <w:rPr>
          <w:b/>
          <w:lang w:val="vi-VN"/>
        </w:rPr>
        <w:t xml:space="preserve">1. </w:t>
      </w:r>
      <w:r w:rsidR="00BC0AEE" w:rsidRPr="005F7ECD">
        <w:rPr>
          <w:b/>
          <w:lang w:val="vi-VN"/>
        </w:rPr>
        <w:t>Những nội dung tiếp thu</w:t>
      </w:r>
      <w:r w:rsidRPr="005F7ECD">
        <w:rPr>
          <w:b/>
          <w:lang w:val="vi-VN"/>
        </w:rPr>
        <w:t xml:space="preserve">  </w:t>
      </w:r>
    </w:p>
    <w:p w:rsidR="00E40688" w:rsidRPr="005F7ECD" w:rsidRDefault="00BC0AEE" w:rsidP="005F7ECD">
      <w:pPr>
        <w:spacing w:beforeLines="60" w:before="144"/>
        <w:ind w:firstLine="720"/>
        <w:jc w:val="both"/>
        <w:rPr>
          <w:b/>
          <w:lang w:val="vi-VN"/>
        </w:rPr>
      </w:pPr>
      <w:r w:rsidRPr="005F7ECD">
        <w:rPr>
          <w:b/>
          <w:lang w:val="vi-VN"/>
        </w:rPr>
        <w:t>2.</w:t>
      </w:r>
      <w:r w:rsidR="00E40688" w:rsidRPr="005F7ECD">
        <w:rPr>
          <w:b/>
          <w:lang w:val="vi-VN"/>
        </w:rPr>
        <w:t xml:space="preserve"> </w:t>
      </w:r>
      <w:r w:rsidR="00223C5F" w:rsidRPr="005F7ECD">
        <w:rPr>
          <w:b/>
          <w:lang w:val="vi-VN"/>
        </w:rPr>
        <w:t>Những nội dung giải trình</w:t>
      </w:r>
    </w:p>
    <w:p w:rsidR="003E6FFE" w:rsidRPr="005F7ECD" w:rsidRDefault="003E6FFE" w:rsidP="005F7ECD">
      <w:pPr>
        <w:tabs>
          <w:tab w:val="left" w:pos="851"/>
        </w:tabs>
        <w:spacing w:beforeLines="60" w:before="144"/>
        <w:ind w:firstLine="709"/>
        <w:jc w:val="both"/>
        <w:rPr>
          <w:bCs/>
          <w:kern w:val="16"/>
          <w:lang w:val="vi-VN"/>
        </w:rPr>
      </w:pPr>
    </w:p>
    <w:p w:rsidR="00BC0FAF" w:rsidRPr="005F7ECD" w:rsidRDefault="00BC0FAF" w:rsidP="005F7ECD">
      <w:pPr>
        <w:tabs>
          <w:tab w:val="left" w:pos="851"/>
        </w:tabs>
        <w:spacing w:beforeLines="60" w:before="144"/>
        <w:ind w:firstLine="709"/>
        <w:jc w:val="both"/>
        <w:rPr>
          <w:spacing w:val="-2"/>
          <w:lang w:val="vi-VN"/>
        </w:rPr>
      </w:pPr>
      <w:r w:rsidRPr="005F7ECD">
        <w:rPr>
          <w:bCs/>
          <w:kern w:val="16"/>
          <w:lang w:val="vi-VN"/>
        </w:rPr>
        <w:t>Trên</w:t>
      </w:r>
      <w:r w:rsidRPr="005F7ECD">
        <w:rPr>
          <w:spacing w:val="-2"/>
          <w:lang w:val="vi-VN"/>
        </w:rPr>
        <w:t xml:space="preserve"> đây là nội dung Nghị định sửa đổi, bổ sung </w:t>
      </w:r>
      <w:r w:rsidR="001D50F0" w:rsidRPr="005F7ECD">
        <w:rPr>
          <w:spacing w:val="-2"/>
          <w:lang w:val="vi-VN"/>
        </w:rPr>
        <w:t xml:space="preserve">một số </w:t>
      </w:r>
      <w:r w:rsidR="003E6FFE" w:rsidRPr="005F7ECD">
        <w:rPr>
          <w:color w:val="000000"/>
          <w:lang w:val="vi-VN"/>
        </w:rPr>
        <w:t xml:space="preserve">một số điều Nghị định số 101/2017/NĐ-CP ngày 01/9/2017 của Chính phủ về đào tạo, bồi dưỡng cán bộ, công chức, viên chức, </w:t>
      </w:r>
      <w:r w:rsidR="00A018E8" w:rsidRPr="005F7ECD">
        <w:rPr>
          <w:spacing w:val="-2"/>
          <w:lang w:val="vi-VN"/>
        </w:rPr>
        <w:t xml:space="preserve">Bộ Nội vụ kính </w:t>
      </w:r>
      <w:r w:rsidRPr="005F7ECD">
        <w:rPr>
          <w:spacing w:val="-2"/>
          <w:lang w:val="vi-VN"/>
        </w:rPr>
        <w:t xml:space="preserve">trình Chính phủ xem xét, </w:t>
      </w:r>
      <w:r w:rsidR="00544761" w:rsidRPr="005F7ECD">
        <w:rPr>
          <w:spacing w:val="-2"/>
          <w:lang w:val="vi-VN"/>
        </w:rPr>
        <w:t>quyết định.</w:t>
      </w:r>
    </w:p>
    <w:p w:rsidR="009D6AE7" w:rsidRPr="005F7ECD" w:rsidRDefault="009D6AE7" w:rsidP="005F7ECD">
      <w:pPr>
        <w:pStyle w:val="BodyText"/>
        <w:tabs>
          <w:tab w:val="left" w:pos="567"/>
        </w:tabs>
        <w:spacing w:beforeLines="60" w:before="144"/>
        <w:jc w:val="both"/>
        <w:outlineLvl w:val="0"/>
        <w:rPr>
          <w:rFonts w:ascii="Times New Roman" w:hAnsi="Times New Roman"/>
          <w:b w:val="0"/>
          <w:color w:val="000000"/>
          <w:szCs w:val="28"/>
          <w:lang w:val="vi-VN"/>
        </w:rPr>
      </w:pPr>
      <w:r w:rsidRPr="005F7ECD">
        <w:rPr>
          <w:rFonts w:ascii="Times New Roman" w:hAnsi="Times New Roman"/>
          <w:b w:val="0"/>
          <w:color w:val="000000"/>
          <w:szCs w:val="28"/>
          <w:lang w:val="vi-VN"/>
        </w:rPr>
        <w:tab/>
      </w:r>
      <w:r w:rsidR="00A22A21" w:rsidRPr="005F7ECD">
        <w:rPr>
          <w:rFonts w:ascii="Times New Roman" w:hAnsi="Times New Roman"/>
          <w:b w:val="0"/>
          <w:color w:val="000000"/>
          <w:szCs w:val="28"/>
          <w:lang w:val="vi-VN"/>
        </w:rPr>
        <w:tab/>
      </w:r>
      <w:r w:rsidRPr="005F7ECD">
        <w:rPr>
          <w:rFonts w:ascii="Times New Roman" w:hAnsi="Times New Roman"/>
          <w:b w:val="0"/>
          <w:color w:val="000000"/>
          <w:szCs w:val="28"/>
          <w:lang w:val="vi-VN"/>
        </w:rPr>
        <w:t xml:space="preserve">(Xin gửi kèm theo </w:t>
      </w:r>
      <w:r w:rsidR="00775C11" w:rsidRPr="005F7ECD">
        <w:rPr>
          <w:rFonts w:ascii="Times New Roman" w:hAnsi="Times New Roman"/>
          <w:b w:val="0"/>
          <w:color w:val="000000"/>
          <w:szCs w:val="28"/>
          <w:lang w:val="vi-VN"/>
        </w:rPr>
        <w:t xml:space="preserve">các tài liệu sau: </w:t>
      </w:r>
      <w:r w:rsidRPr="005F7ECD">
        <w:rPr>
          <w:rFonts w:ascii="Times New Roman" w:hAnsi="Times New Roman"/>
          <w:b w:val="0"/>
          <w:color w:val="000000"/>
          <w:szCs w:val="28"/>
          <w:lang w:val="vi-VN"/>
        </w:rPr>
        <w:t>dự thảo Nghị định</w:t>
      </w:r>
      <w:r w:rsidR="00280D35" w:rsidRPr="005F7ECD">
        <w:rPr>
          <w:rFonts w:ascii="Times New Roman" w:hAnsi="Times New Roman"/>
          <w:b w:val="0"/>
          <w:color w:val="000000"/>
          <w:szCs w:val="28"/>
          <w:lang w:val="vi-VN"/>
        </w:rPr>
        <w:t xml:space="preserve"> </w:t>
      </w:r>
      <w:r w:rsidR="0011617B" w:rsidRPr="005F7ECD">
        <w:rPr>
          <w:rFonts w:ascii="Times New Roman" w:hAnsi="Times New Roman"/>
          <w:b w:val="0"/>
          <w:color w:val="000000"/>
          <w:szCs w:val="28"/>
          <w:lang w:val="vi-VN"/>
        </w:rPr>
        <w:t xml:space="preserve">sau khi </w:t>
      </w:r>
      <w:r w:rsidR="00280D35" w:rsidRPr="005F7ECD">
        <w:rPr>
          <w:rFonts w:ascii="Times New Roman" w:hAnsi="Times New Roman"/>
          <w:b w:val="0"/>
          <w:color w:val="000000"/>
          <w:szCs w:val="28"/>
          <w:lang w:val="vi-VN"/>
        </w:rPr>
        <w:t xml:space="preserve">đã tiếp thu </w:t>
      </w:r>
      <w:r w:rsidR="0011617B" w:rsidRPr="005F7ECD">
        <w:rPr>
          <w:rFonts w:ascii="Times New Roman" w:hAnsi="Times New Roman"/>
          <w:b w:val="0"/>
          <w:color w:val="000000"/>
          <w:szCs w:val="28"/>
          <w:lang w:val="vi-VN"/>
        </w:rPr>
        <w:t xml:space="preserve">ý kiến </w:t>
      </w:r>
      <w:r w:rsidR="00280D35" w:rsidRPr="005F7ECD">
        <w:rPr>
          <w:rFonts w:ascii="Times New Roman" w:hAnsi="Times New Roman"/>
          <w:b w:val="0"/>
          <w:color w:val="000000"/>
          <w:szCs w:val="28"/>
          <w:lang w:val="vi-VN"/>
        </w:rPr>
        <w:t>thẩm định của Bộ Tư pháp</w:t>
      </w:r>
      <w:r w:rsidR="00A22A21" w:rsidRPr="005F7ECD">
        <w:rPr>
          <w:rFonts w:ascii="Times New Roman" w:hAnsi="Times New Roman"/>
          <w:b w:val="0"/>
          <w:color w:val="000000"/>
          <w:szCs w:val="28"/>
          <w:lang w:val="vi-VN"/>
        </w:rPr>
        <w:t>; văn bản thẩm định của Bộ Tư pháp;</w:t>
      </w:r>
      <w:r w:rsidR="00775C11" w:rsidRPr="005F7ECD">
        <w:rPr>
          <w:rFonts w:ascii="Times New Roman" w:hAnsi="Times New Roman"/>
          <w:b w:val="0"/>
          <w:color w:val="000000"/>
          <w:szCs w:val="28"/>
          <w:lang w:val="vi-VN"/>
        </w:rPr>
        <w:t xml:space="preserve"> b</w:t>
      </w:r>
      <w:r w:rsidRPr="005F7ECD">
        <w:rPr>
          <w:rFonts w:ascii="Times New Roman" w:hAnsi="Times New Roman"/>
          <w:b w:val="0"/>
          <w:color w:val="000000"/>
          <w:szCs w:val="28"/>
          <w:lang w:val="vi-VN"/>
        </w:rPr>
        <w:t>ản tổng hợp ý kiến góp ý</w:t>
      </w:r>
      <w:r w:rsidR="00172F8C" w:rsidRPr="005F7ECD">
        <w:rPr>
          <w:rFonts w:ascii="Times New Roman" w:hAnsi="Times New Roman"/>
          <w:b w:val="0"/>
          <w:color w:val="000000"/>
          <w:szCs w:val="28"/>
          <w:lang w:val="vi-VN"/>
        </w:rPr>
        <w:t xml:space="preserve"> của Bộ, ngành, địa phương</w:t>
      </w:r>
      <w:r w:rsidR="003E6FFE" w:rsidRPr="005F7ECD">
        <w:rPr>
          <w:rFonts w:ascii="Times New Roman" w:hAnsi="Times New Roman"/>
          <w:b w:val="0"/>
          <w:color w:val="000000"/>
          <w:szCs w:val="28"/>
          <w:lang w:val="vi-VN"/>
        </w:rPr>
        <w:t xml:space="preserve"> </w:t>
      </w:r>
      <w:r w:rsidR="008F1494" w:rsidRPr="005F7ECD">
        <w:rPr>
          <w:rFonts w:ascii="Times New Roman" w:hAnsi="Times New Roman"/>
          <w:b w:val="0"/>
          <w:color w:val="000000"/>
          <w:szCs w:val="28"/>
          <w:lang w:val="vi-VN"/>
        </w:rPr>
        <w:t>và các tài liệu khác liên quan</w:t>
      </w:r>
      <w:r w:rsidR="00172F8C" w:rsidRPr="005F7ECD">
        <w:rPr>
          <w:rFonts w:ascii="Times New Roman" w:hAnsi="Times New Roman"/>
          <w:b w:val="0"/>
          <w:color w:val="000000"/>
          <w:szCs w:val="28"/>
          <w:lang w:val="vi-VN"/>
        </w:rPr>
        <w:t>)</w:t>
      </w:r>
      <w:r w:rsidRPr="005F7ECD">
        <w:rPr>
          <w:rFonts w:ascii="Times New Roman" w:hAnsi="Times New Roman"/>
          <w:b w:val="0"/>
          <w:color w:val="000000"/>
          <w:szCs w:val="28"/>
          <w:lang w:val="vi-VN"/>
        </w:rPr>
        <w:t>.</w:t>
      </w:r>
      <w:r w:rsidR="00544761" w:rsidRPr="005F7ECD">
        <w:rPr>
          <w:rFonts w:ascii="Times New Roman" w:hAnsi="Times New Roman"/>
          <w:b w:val="0"/>
          <w:color w:val="000000"/>
          <w:szCs w:val="28"/>
          <w:lang w:val="vi-VN"/>
        </w:rPr>
        <w:t>/.</w:t>
      </w:r>
    </w:p>
    <w:p w:rsidR="005F7ECD" w:rsidRPr="008A47D9" w:rsidRDefault="005F7ECD" w:rsidP="00A3507C">
      <w:pPr>
        <w:pStyle w:val="BodyText"/>
        <w:tabs>
          <w:tab w:val="left" w:pos="567"/>
        </w:tabs>
        <w:spacing w:before="120"/>
        <w:jc w:val="both"/>
        <w:outlineLvl w:val="0"/>
        <w:rPr>
          <w:rFonts w:ascii="Times New Roman" w:hAnsi="Times New Roman"/>
          <w:b w:val="0"/>
          <w:color w:val="000000"/>
          <w:sz w:val="27"/>
          <w:szCs w:val="27"/>
          <w:lang w:val="vi-VN"/>
        </w:rPr>
      </w:pPr>
    </w:p>
    <w:tbl>
      <w:tblPr>
        <w:tblW w:w="0" w:type="auto"/>
        <w:tblInd w:w="108" w:type="dxa"/>
        <w:tblLook w:val="01E0" w:firstRow="1" w:lastRow="1" w:firstColumn="1" w:lastColumn="1" w:noHBand="0" w:noVBand="0"/>
      </w:tblPr>
      <w:tblGrid>
        <w:gridCol w:w="4433"/>
        <w:gridCol w:w="4702"/>
      </w:tblGrid>
      <w:tr w:rsidR="00BC0FAF" w:rsidRPr="00671DBC" w:rsidTr="00361D3E">
        <w:trPr>
          <w:trHeight w:val="3133"/>
        </w:trPr>
        <w:tc>
          <w:tcPr>
            <w:tcW w:w="4433" w:type="dxa"/>
          </w:tcPr>
          <w:p w:rsidR="00BC0FAF" w:rsidRPr="008A47D9" w:rsidRDefault="00BC0FAF" w:rsidP="000E16D9">
            <w:pPr>
              <w:jc w:val="both"/>
              <w:rPr>
                <w:b/>
                <w:i/>
                <w:sz w:val="24"/>
                <w:lang w:val="vi-VN"/>
              </w:rPr>
            </w:pPr>
          </w:p>
          <w:p w:rsidR="00BC0FAF" w:rsidRPr="008A47D9" w:rsidRDefault="00BC0FAF" w:rsidP="000E16D9">
            <w:pPr>
              <w:jc w:val="both"/>
              <w:rPr>
                <w:b/>
                <w:i/>
                <w:sz w:val="24"/>
                <w:lang w:val="vi-VN"/>
              </w:rPr>
            </w:pPr>
            <w:r w:rsidRPr="008A47D9">
              <w:rPr>
                <w:b/>
                <w:i/>
                <w:sz w:val="24"/>
                <w:lang w:val="vi-VN"/>
              </w:rPr>
              <w:t>Nơi nhận:</w:t>
            </w:r>
          </w:p>
          <w:p w:rsidR="00BC0FAF" w:rsidRPr="008A47D9" w:rsidRDefault="00BC0FAF" w:rsidP="000E16D9">
            <w:pPr>
              <w:jc w:val="both"/>
              <w:rPr>
                <w:sz w:val="22"/>
                <w:lang w:val="vi-VN"/>
              </w:rPr>
            </w:pPr>
            <w:r w:rsidRPr="008A47D9">
              <w:rPr>
                <w:sz w:val="22"/>
                <w:lang w:val="vi-VN"/>
              </w:rPr>
              <w:t>- Như trên;</w:t>
            </w:r>
          </w:p>
          <w:p w:rsidR="00BC0FAF" w:rsidRPr="008A47D9" w:rsidRDefault="00BC0FAF" w:rsidP="000E16D9">
            <w:pPr>
              <w:jc w:val="both"/>
              <w:rPr>
                <w:sz w:val="22"/>
                <w:lang w:val="vi-VN"/>
              </w:rPr>
            </w:pPr>
            <w:r w:rsidRPr="008A47D9">
              <w:rPr>
                <w:sz w:val="22"/>
                <w:lang w:val="vi-VN"/>
              </w:rPr>
              <w:t>- Thủ tướng Chính phủ;</w:t>
            </w:r>
          </w:p>
          <w:p w:rsidR="00BC0FAF" w:rsidRPr="008A47D9" w:rsidRDefault="00BC0FAF" w:rsidP="000E16D9">
            <w:pPr>
              <w:jc w:val="both"/>
              <w:rPr>
                <w:sz w:val="22"/>
                <w:lang w:val="vi-VN"/>
              </w:rPr>
            </w:pPr>
            <w:r w:rsidRPr="008A47D9">
              <w:rPr>
                <w:sz w:val="22"/>
                <w:lang w:val="vi-VN"/>
              </w:rPr>
              <w:t xml:space="preserve">- PTT </w:t>
            </w:r>
            <w:r w:rsidR="003E6FFE" w:rsidRPr="008A47D9">
              <w:rPr>
                <w:sz w:val="22"/>
                <w:lang w:val="vi-VN"/>
              </w:rPr>
              <w:t>Vũ Đức Đam;</w:t>
            </w:r>
          </w:p>
          <w:p w:rsidR="00BC0FAF" w:rsidRPr="008A47D9" w:rsidRDefault="00BC0FAF" w:rsidP="000E16D9">
            <w:pPr>
              <w:jc w:val="both"/>
              <w:rPr>
                <w:sz w:val="22"/>
                <w:lang w:val="vi-VN"/>
              </w:rPr>
            </w:pPr>
            <w:r w:rsidRPr="008A47D9">
              <w:rPr>
                <w:sz w:val="22"/>
                <w:lang w:val="vi-VN"/>
              </w:rPr>
              <w:t>- Văn phòng Chính phủ;</w:t>
            </w:r>
          </w:p>
          <w:p w:rsidR="00BC0FAF" w:rsidRPr="008A47D9" w:rsidRDefault="00BC0FAF" w:rsidP="000E16D9">
            <w:pPr>
              <w:jc w:val="both"/>
              <w:rPr>
                <w:sz w:val="22"/>
                <w:lang w:val="vi-VN"/>
              </w:rPr>
            </w:pPr>
            <w:r w:rsidRPr="008A47D9">
              <w:rPr>
                <w:sz w:val="22"/>
                <w:lang w:val="vi-VN"/>
              </w:rPr>
              <w:t>- Bộ Tư pháp;</w:t>
            </w:r>
          </w:p>
          <w:p w:rsidR="00BC0FAF" w:rsidRPr="008A47D9" w:rsidRDefault="00BC0FAF" w:rsidP="000E16D9">
            <w:pPr>
              <w:jc w:val="both"/>
              <w:rPr>
                <w:sz w:val="22"/>
                <w:lang w:val="vi-VN"/>
              </w:rPr>
            </w:pPr>
            <w:r w:rsidRPr="008A47D9">
              <w:rPr>
                <w:sz w:val="22"/>
                <w:lang w:val="vi-VN"/>
              </w:rPr>
              <w:t>- Bộ trưởng, TT</w:t>
            </w:r>
            <w:r w:rsidR="003E6FFE" w:rsidRPr="008A47D9">
              <w:rPr>
                <w:sz w:val="22"/>
                <w:lang w:val="vi-VN"/>
              </w:rPr>
              <w:t xml:space="preserve"> Triệu Văn Cường</w:t>
            </w:r>
            <w:r w:rsidRPr="008A47D9">
              <w:rPr>
                <w:sz w:val="22"/>
                <w:lang w:val="vi-VN"/>
              </w:rPr>
              <w:t>;</w:t>
            </w:r>
          </w:p>
          <w:p w:rsidR="00BC0FAF" w:rsidRPr="00671DBC" w:rsidRDefault="00BC0FAF" w:rsidP="00361D3E">
            <w:pPr>
              <w:jc w:val="both"/>
              <w:rPr>
                <w:b/>
              </w:rPr>
            </w:pPr>
            <w:r w:rsidRPr="00671DBC">
              <w:rPr>
                <w:sz w:val="22"/>
              </w:rPr>
              <w:t>- Lưu: VT,</w:t>
            </w:r>
            <w:r w:rsidR="003E6FFE">
              <w:rPr>
                <w:sz w:val="22"/>
              </w:rPr>
              <w:t xml:space="preserve"> ĐT</w:t>
            </w:r>
            <w:r w:rsidRPr="00671DBC">
              <w:rPr>
                <w:sz w:val="22"/>
              </w:rPr>
              <w:t>.</w:t>
            </w:r>
          </w:p>
        </w:tc>
        <w:tc>
          <w:tcPr>
            <w:tcW w:w="4702" w:type="dxa"/>
          </w:tcPr>
          <w:p w:rsidR="00BC0FAF" w:rsidRPr="00671DBC" w:rsidRDefault="00BC0FAF" w:rsidP="00A3507C">
            <w:pPr>
              <w:spacing w:before="120"/>
              <w:jc w:val="center"/>
              <w:rPr>
                <w:b/>
              </w:rPr>
            </w:pPr>
            <w:r w:rsidRPr="00671DBC">
              <w:rPr>
                <w:b/>
              </w:rPr>
              <w:t>BỘ TRƯỞNG</w:t>
            </w:r>
          </w:p>
          <w:p w:rsidR="00BC0FAF" w:rsidRPr="00671DBC" w:rsidRDefault="00BC0FAF" w:rsidP="000E16D9">
            <w:pPr>
              <w:jc w:val="center"/>
              <w:rPr>
                <w:b/>
              </w:rPr>
            </w:pPr>
          </w:p>
          <w:p w:rsidR="00BC0FAF" w:rsidRPr="00671DBC" w:rsidRDefault="00BC0FAF" w:rsidP="000E16D9">
            <w:pPr>
              <w:jc w:val="center"/>
              <w:rPr>
                <w:b/>
              </w:rPr>
            </w:pPr>
          </w:p>
          <w:p w:rsidR="00BC0FAF" w:rsidRPr="00671DBC" w:rsidRDefault="00BC0FAF" w:rsidP="000E16D9">
            <w:pPr>
              <w:jc w:val="center"/>
              <w:rPr>
                <w:b/>
              </w:rPr>
            </w:pPr>
          </w:p>
          <w:p w:rsidR="00BC0FAF" w:rsidRPr="00671DBC" w:rsidRDefault="00BC0FAF" w:rsidP="000E16D9">
            <w:pPr>
              <w:jc w:val="center"/>
              <w:rPr>
                <w:b/>
                <w:sz w:val="66"/>
              </w:rPr>
            </w:pPr>
          </w:p>
          <w:p w:rsidR="00BC0FAF" w:rsidRPr="00671DBC" w:rsidRDefault="00BC0FAF" w:rsidP="000E16D9">
            <w:pPr>
              <w:jc w:val="center"/>
              <w:rPr>
                <w:b/>
              </w:rPr>
            </w:pPr>
          </w:p>
          <w:p w:rsidR="00BC0FAF" w:rsidRPr="00671DBC" w:rsidRDefault="00BC0FAF" w:rsidP="000E16D9">
            <w:pPr>
              <w:jc w:val="center"/>
              <w:rPr>
                <w:b/>
              </w:rPr>
            </w:pPr>
            <w:r w:rsidRPr="00671DBC">
              <w:rPr>
                <w:b/>
              </w:rPr>
              <w:t>Lê Vĩnh Tân</w:t>
            </w:r>
          </w:p>
        </w:tc>
      </w:tr>
    </w:tbl>
    <w:p w:rsidR="004D6BC6" w:rsidRPr="00470CB5" w:rsidRDefault="004D6BC6">
      <w:pPr>
        <w:rPr>
          <w:lang w:val="pt-PT"/>
        </w:rPr>
      </w:pPr>
    </w:p>
    <w:sectPr w:rsidR="004D6BC6" w:rsidRPr="00470CB5" w:rsidSect="005D61F6">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885" w:rsidRDefault="00F14885">
      <w:r>
        <w:separator/>
      </w:r>
    </w:p>
  </w:endnote>
  <w:endnote w:type="continuationSeparator" w:id="0">
    <w:p w:rsidR="00F14885" w:rsidRDefault="00F1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VnTime">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437" w:rsidRDefault="00020437" w:rsidP="00D40F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0437" w:rsidRDefault="00020437" w:rsidP="00D40F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437" w:rsidRDefault="00020437" w:rsidP="00D40F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885" w:rsidRDefault="00F14885">
      <w:r>
        <w:separator/>
      </w:r>
    </w:p>
  </w:footnote>
  <w:footnote w:type="continuationSeparator" w:id="0">
    <w:p w:rsidR="00F14885" w:rsidRDefault="00F14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CA2" w:rsidRDefault="00000CA2">
    <w:pPr>
      <w:pStyle w:val="Header"/>
      <w:jc w:val="center"/>
    </w:pPr>
    <w:r>
      <w:fldChar w:fldCharType="begin"/>
    </w:r>
    <w:r>
      <w:instrText xml:space="preserve"> PAGE   \* MERGEFORMAT </w:instrText>
    </w:r>
    <w:r>
      <w:fldChar w:fldCharType="separate"/>
    </w:r>
    <w:r w:rsidR="0047275F">
      <w:rPr>
        <w:noProof/>
      </w:rPr>
      <w:t>5</w:t>
    </w:r>
    <w:r>
      <w:rPr>
        <w:noProof/>
      </w:rPr>
      <w:fldChar w:fldCharType="end"/>
    </w:r>
  </w:p>
  <w:p w:rsidR="00000CA2" w:rsidRDefault="00000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3FEE"/>
    <w:multiLevelType w:val="hybridMultilevel"/>
    <w:tmpl w:val="DD8E4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53264E"/>
    <w:multiLevelType w:val="hybridMultilevel"/>
    <w:tmpl w:val="86B2D910"/>
    <w:lvl w:ilvl="0" w:tplc="675C9012">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2103244D"/>
    <w:multiLevelType w:val="hybridMultilevel"/>
    <w:tmpl w:val="8DBA86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6256B5"/>
    <w:multiLevelType w:val="hybridMultilevel"/>
    <w:tmpl w:val="0DB2D608"/>
    <w:lvl w:ilvl="0" w:tplc="66CC2C0C">
      <w:start w:val="1"/>
      <w:numFmt w:val="upperRoman"/>
      <w:lvlText w:val="%1."/>
      <w:lvlJc w:val="left"/>
      <w:pPr>
        <w:ind w:left="1392" w:hanging="72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4" w15:restartNumberingAfterBreak="0">
    <w:nsid w:val="28667ACA"/>
    <w:multiLevelType w:val="hybridMultilevel"/>
    <w:tmpl w:val="E3A26ED8"/>
    <w:lvl w:ilvl="0" w:tplc="32AC48E4">
      <w:start w:val="1"/>
      <w:numFmt w:val="upp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62B4445"/>
    <w:multiLevelType w:val="hybridMultilevel"/>
    <w:tmpl w:val="CF8259D0"/>
    <w:lvl w:ilvl="0" w:tplc="6B8437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D76E99"/>
    <w:multiLevelType w:val="hybridMultilevel"/>
    <w:tmpl w:val="A2CCE2BE"/>
    <w:lvl w:ilvl="0" w:tplc="675C90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2B0606"/>
    <w:multiLevelType w:val="hybridMultilevel"/>
    <w:tmpl w:val="771E4F80"/>
    <w:lvl w:ilvl="0" w:tplc="675C9012">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8" w15:restartNumberingAfterBreak="0">
    <w:nsid w:val="412C78F5"/>
    <w:multiLevelType w:val="hybridMultilevel"/>
    <w:tmpl w:val="DAA6A0C2"/>
    <w:lvl w:ilvl="0" w:tplc="042A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D4751C9"/>
    <w:multiLevelType w:val="hybridMultilevel"/>
    <w:tmpl w:val="84A65EA6"/>
    <w:lvl w:ilvl="0" w:tplc="6B784F9C">
      <w:start w:val="8"/>
      <w:numFmt w:val="lowerLetter"/>
      <w:lvlText w:val="%1)"/>
      <w:lvlJc w:val="left"/>
      <w:pPr>
        <w:ind w:left="1069" w:hanging="360"/>
      </w:pPr>
      <w:rPr>
        <w:rFonts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4730871"/>
    <w:multiLevelType w:val="hybridMultilevel"/>
    <w:tmpl w:val="08A292AC"/>
    <w:lvl w:ilvl="0" w:tplc="675C9012">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1" w15:restartNumberingAfterBreak="0">
    <w:nsid w:val="74F81EB0"/>
    <w:multiLevelType w:val="hybridMultilevel"/>
    <w:tmpl w:val="141E2296"/>
    <w:lvl w:ilvl="0" w:tplc="1E2834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4926DE"/>
    <w:multiLevelType w:val="hybridMultilevel"/>
    <w:tmpl w:val="993AE38E"/>
    <w:lvl w:ilvl="0" w:tplc="66CE4A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5"/>
  </w:num>
  <w:num w:numId="5">
    <w:abstractNumId w:val="0"/>
  </w:num>
  <w:num w:numId="6">
    <w:abstractNumId w:val="8"/>
  </w:num>
  <w:num w:numId="7">
    <w:abstractNumId w:val="7"/>
  </w:num>
  <w:num w:numId="8">
    <w:abstractNumId w:val="1"/>
  </w:num>
  <w:num w:numId="9">
    <w:abstractNumId w:val="10"/>
  </w:num>
  <w:num w:numId="10">
    <w:abstractNumId w:val="4"/>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AF"/>
    <w:rsid w:val="00000CA2"/>
    <w:rsid w:val="00002574"/>
    <w:rsid w:val="00002577"/>
    <w:rsid w:val="00006462"/>
    <w:rsid w:val="00010925"/>
    <w:rsid w:val="00012C05"/>
    <w:rsid w:val="0001650C"/>
    <w:rsid w:val="000170B3"/>
    <w:rsid w:val="00020437"/>
    <w:rsid w:val="000243F6"/>
    <w:rsid w:val="000250F3"/>
    <w:rsid w:val="000272E8"/>
    <w:rsid w:val="000304D6"/>
    <w:rsid w:val="00030673"/>
    <w:rsid w:val="0003091B"/>
    <w:rsid w:val="000341B6"/>
    <w:rsid w:val="00036FAC"/>
    <w:rsid w:val="00042A23"/>
    <w:rsid w:val="000450F5"/>
    <w:rsid w:val="000500BC"/>
    <w:rsid w:val="00050E50"/>
    <w:rsid w:val="00052713"/>
    <w:rsid w:val="000542E6"/>
    <w:rsid w:val="0006194E"/>
    <w:rsid w:val="00065CA4"/>
    <w:rsid w:val="00065E6E"/>
    <w:rsid w:val="0007293F"/>
    <w:rsid w:val="0007346C"/>
    <w:rsid w:val="00075224"/>
    <w:rsid w:val="00083BFA"/>
    <w:rsid w:val="00092870"/>
    <w:rsid w:val="00097917"/>
    <w:rsid w:val="000A1D14"/>
    <w:rsid w:val="000A6F85"/>
    <w:rsid w:val="000B0ACC"/>
    <w:rsid w:val="000B13E3"/>
    <w:rsid w:val="000B34B1"/>
    <w:rsid w:val="000B75D0"/>
    <w:rsid w:val="000C590C"/>
    <w:rsid w:val="000D0E9A"/>
    <w:rsid w:val="000D40C5"/>
    <w:rsid w:val="000D452D"/>
    <w:rsid w:val="000D5291"/>
    <w:rsid w:val="000D6729"/>
    <w:rsid w:val="000E0A4A"/>
    <w:rsid w:val="000E0C84"/>
    <w:rsid w:val="000E16D9"/>
    <w:rsid w:val="000E187C"/>
    <w:rsid w:val="000F4533"/>
    <w:rsid w:val="000F5BBD"/>
    <w:rsid w:val="001067BE"/>
    <w:rsid w:val="00107729"/>
    <w:rsid w:val="0011077F"/>
    <w:rsid w:val="001108C0"/>
    <w:rsid w:val="00111692"/>
    <w:rsid w:val="00112773"/>
    <w:rsid w:val="0011617B"/>
    <w:rsid w:val="00116F30"/>
    <w:rsid w:val="00117131"/>
    <w:rsid w:val="001265DC"/>
    <w:rsid w:val="00137AE7"/>
    <w:rsid w:val="00142311"/>
    <w:rsid w:val="001423DB"/>
    <w:rsid w:val="00143C5C"/>
    <w:rsid w:val="00147E0A"/>
    <w:rsid w:val="00150CC5"/>
    <w:rsid w:val="00165FB8"/>
    <w:rsid w:val="00170785"/>
    <w:rsid w:val="00172F8C"/>
    <w:rsid w:val="00174960"/>
    <w:rsid w:val="001766CF"/>
    <w:rsid w:val="0017761E"/>
    <w:rsid w:val="00187D3C"/>
    <w:rsid w:val="0019141B"/>
    <w:rsid w:val="00193D3D"/>
    <w:rsid w:val="001942D9"/>
    <w:rsid w:val="0019435D"/>
    <w:rsid w:val="001A1131"/>
    <w:rsid w:val="001A293C"/>
    <w:rsid w:val="001A6794"/>
    <w:rsid w:val="001A6949"/>
    <w:rsid w:val="001B6A85"/>
    <w:rsid w:val="001B76C0"/>
    <w:rsid w:val="001C3A82"/>
    <w:rsid w:val="001C74A7"/>
    <w:rsid w:val="001C7643"/>
    <w:rsid w:val="001D2501"/>
    <w:rsid w:val="001D50F0"/>
    <w:rsid w:val="001D52AC"/>
    <w:rsid w:val="001E02EB"/>
    <w:rsid w:val="001E16FD"/>
    <w:rsid w:val="001E21D7"/>
    <w:rsid w:val="001E5C4F"/>
    <w:rsid w:val="001F11C7"/>
    <w:rsid w:val="001F27BB"/>
    <w:rsid w:val="002027DD"/>
    <w:rsid w:val="002055D8"/>
    <w:rsid w:val="0020585F"/>
    <w:rsid w:val="00206C05"/>
    <w:rsid w:val="00223C5F"/>
    <w:rsid w:val="002274BA"/>
    <w:rsid w:val="002334F1"/>
    <w:rsid w:val="00234069"/>
    <w:rsid w:val="00243C96"/>
    <w:rsid w:val="00246C41"/>
    <w:rsid w:val="00261658"/>
    <w:rsid w:val="00262CB5"/>
    <w:rsid w:val="002667E6"/>
    <w:rsid w:val="00271A8B"/>
    <w:rsid w:val="00275290"/>
    <w:rsid w:val="002756A4"/>
    <w:rsid w:val="0027764B"/>
    <w:rsid w:val="00277686"/>
    <w:rsid w:val="00280D35"/>
    <w:rsid w:val="00281EB8"/>
    <w:rsid w:val="002840C5"/>
    <w:rsid w:val="00292131"/>
    <w:rsid w:val="00293274"/>
    <w:rsid w:val="0029620E"/>
    <w:rsid w:val="002A009C"/>
    <w:rsid w:val="002A02C5"/>
    <w:rsid w:val="002A0D75"/>
    <w:rsid w:val="002B3544"/>
    <w:rsid w:val="002B4B24"/>
    <w:rsid w:val="002C423F"/>
    <w:rsid w:val="002C72C0"/>
    <w:rsid w:val="002C7823"/>
    <w:rsid w:val="002D27F6"/>
    <w:rsid w:val="002D31AC"/>
    <w:rsid w:val="002D3AA9"/>
    <w:rsid w:val="002D48B4"/>
    <w:rsid w:val="002E17F0"/>
    <w:rsid w:val="002E3164"/>
    <w:rsid w:val="002E700B"/>
    <w:rsid w:val="002F27EE"/>
    <w:rsid w:val="002F33D7"/>
    <w:rsid w:val="002F7FC5"/>
    <w:rsid w:val="0030591E"/>
    <w:rsid w:val="00313701"/>
    <w:rsid w:val="00314A71"/>
    <w:rsid w:val="003176D1"/>
    <w:rsid w:val="00334B21"/>
    <w:rsid w:val="0033633C"/>
    <w:rsid w:val="003367FF"/>
    <w:rsid w:val="00336B2D"/>
    <w:rsid w:val="00343821"/>
    <w:rsid w:val="00346E1D"/>
    <w:rsid w:val="0035447C"/>
    <w:rsid w:val="003544B6"/>
    <w:rsid w:val="00360E58"/>
    <w:rsid w:val="00361D3E"/>
    <w:rsid w:val="00366E6C"/>
    <w:rsid w:val="00371E0F"/>
    <w:rsid w:val="00382846"/>
    <w:rsid w:val="003829DC"/>
    <w:rsid w:val="0038312F"/>
    <w:rsid w:val="00384FB2"/>
    <w:rsid w:val="00387E4D"/>
    <w:rsid w:val="003924B1"/>
    <w:rsid w:val="00393FE5"/>
    <w:rsid w:val="00397128"/>
    <w:rsid w:val="003A2368"/>
    <w:rsid w:val="003A58EA"/>
    <w:rsid w:val="003B0EFD"/>
    <w:rsid w:val="003B544A"/>
    <w:rsid w:val="003B65D4"/>
    <w:rsid w:val="003C32AF"/>
    <w:rsid w:val="003C71A6"/>
    <w:rsid w:val="003D7F54"/>
    <w:rsid w:val="003E0463"/>
    <w:rsid w:val="003E4973"/>
    <w:rsid w:val="003E6FFE"/>
    <w:rsid w:val="003F1B56"/>
    <w:rsid w:val="003F1BE1"/>
    <w:rsid w:val="003F79BB"/>
    <w:rsid w:val="00403B6A"/>
    <w:rsid w:val="00405E4C"/>
    <w:rsid w:val="00407A8C"/>
    <w:rsid w:val="00410E35"/>
    <w:rsid w:val="00413586"/>
    <w:rsid w:val="00417EA4"/>
    <w:rsid w:val="00423750"/>
    <w:rsid w:val="00425E18"/>
    <w:rsid w:val="00433242"/>
    <w:rsid w:val="00435F0B"/>
    <w:rsid w:val="0044154F"/>
    <w:rsid w:val="004421EA"/>
    <w:rsid w:val="00443156"/>
    <w:rsid w:val="0045521D"/>
    <w:rsid w:val="00455B05"/>
    <w:rsid w:val="00456D23"/>
    <w:rsid w:val="00462972"/>
    <w:rsid w:val="004636D5"/>
    <w:rsid w:val="0046782B"/>
    <w:rsid w:val="00467DD6"/>
    <w:rsid w:val="00470CB5"/>
    <w:rsid w:val="0047275F"/>
    <w:rsid w:val="00475278"/>
    <w:rsid w:val="00476131"/>
    <w:rsid w:val="00476860"/>
    <w:rsid w:val="0048072E"/>
    <w:rsid w:val="00480B88"/>
    <w:rsid w:val="00481068"/>
    <w:rsid w:val="00482CD4"/>
    <w:rsid w:val="004862A5"/>
    <w:rsid w:val="00493441"/>
    <w:rsid w:val="00495BA4"/>
    <w:rsid w:val="004A75D3"/>
    <w:rsid w:val="004B00E2"/>
    <w:rsid w:val="004B1DB6"/>
    <w:rsid w:val="004B76DE"/>
    <w:rsid w:val="004C4C41"/>
    <w:rsid w:val="004D4A57"/>
    <w:rsid w:val="004D6BC6"/>
    <w:rsid w:val="004E1425"/>
    <w:rsid w:val="004E37D6"/>
    <w:rsid w:val="004F0116"/>
    <w:rsid w:val="004F3554"/>
    <w:rsid w:val="00506F51"/>
    <w:rsid w:val="005076D9"/>
    <w:rsid w:val="0051339A"/>
    <w:rsid w:val="005149DD"/>
    <w:rsid w:val="00516B14"/>
    <w:rsid w:val="00520DC7"/>
    <w:rsid w:val="00521FA2"/>
    <w:rsid w:val="00521FC1"/>
    <w:rsid w:val="00524D62"/>
    <w:rsid w:val="00532E31"/>
    <w:rsid w:val="00533486"/>
    <w:rsid w:val="005446F7"/>
    <w:rsid w:val="00544761"/>
    <w:rsid w:val="00544B19"/>
    <w:rsid w:val="00545E17"/>
    <w:rsid w:val="005511F4"/>
    <w:rsid w:val="0055366F"/>
    <w:rsid w:val="0056017F"/>
    <w:rsid w:val="00583054"/>
    <w:rsid w:val="00584B31"/>
    <w:rsid w:val="005863F5"/>
    <w:rsid w:val="005909B6"/>
    <w:rsid w:val="00595FED"/>
    <w:rsid w:val="0059715F"/>
    <w:rsid w:val="005A5C98"/>
    <w:rsid w:val="005B055C"/>
    <w:rsid w:val="005B3207"/>
    <w:rsid w:val="005B505F"/>
    <w:rsid w:val="005B5941"/>
    <w:rsid w:val="005C10D8"/>
    <w:rsid w:val="005C1270"/>
    <w:rsid w:val="005C1718"/>
    <w:rsid w:val="005C1EA2"/>
    <w:rsid w:val="005C5E93"/>
    <w:rsid w:val="005D0131"/>
    <w:rsid w:val="005D2B42"/>
    <w:rsid w:val="005D4A61"/>
    <w:rsid w:val="005D4F47"/>
    <w:rsid w:val="005D55C7"/>
    <w:rsid w:val="005D61F6"/>
    <w:rsid w:val="005D7B94"/>
    <w:rsid w:val="005E4162"/>
    <w:rsid w:val="005E77DD"/>
    <w:rsid w:val="005F1A95"/>
    <w:rsid w:val="005F6374"/>
    <w:rsid w:val="005F7DFC"/>
    <w:rsid w:val="005F7ECD"/>
    <w:rsid w:val="00603BF3"/>
    <w:rsid w:val="00616B2F"/>
    <w:rsid w:val="006172ED"/>
    <w:rsid w:val="0062344D"/>
    <w:rsid w:val="00623C22"/>
    <w:rsid w:val="0063047B"/>
    <w:rsid w:val="0063261F"/>
    <w:rsid w:val="00637B7C"/>
    <w:rsid w:val="006448FB"/>
    <w:rsid w:val="00664DB5"/>
    <w:rsid w:val="006676D6"/>
    <w:rsid w:val="00667CAB"/>
    <w:rsid w:val="00671563"/>
    <w:rsid w:val="00671DBC"/>
    <w:rsid w:val="00673B69"/>
    <w:rsid w:val="0067727F"/>
    <w:rsid w:val="006831BE"/>
    <w:rsid w:val="00684F50"/>
    <w:rsid w:val="006854D9"/>
    <w:rsid w:val="006919D0"/>
    <w:rsid w:val="006972B8"/>
    <w:rsid w:val="006A3ECE"/>
    <w:rsid w:val="006A417C"/>
    <w:rsid w:val="006A4B2D"/>
    <w:rsid w:val="006A609E"/>
    <w:rsid w:val="006B282E"/>
    <w:rsid w:val="006C0891"/>
    <w:rsid w:val="006C6BAD"/>
    <w:rsid w:val="006D07C5"/>
    <w:rsid w:val="006D22F3"/>
    <w:rsid w:val="006D3F21"/>
    <w:rsid w:val="006D6F35"/>
    <w:rsid w:val="006E17EC"/>
    <w:rsid w:val="006F0485"/>
    <w:rsid w:val="006F14DB"/>
    <w:rsid w:val="006F3A03"/>
    <w:rsid w:val="006F61ED"/>
    <w:rsid w:val="006F7A9C"/>
    <w:rsid w:val="00712E97"/>
    <w:rsid w:val="00720537"/>
    <w:rsid w:val="00720A6E"/>
    <w:rsid w:val="007230E7"/>
    <w:rsid w:val="00726358"/>
    <w:rsid w:val="00733124"/>
    <w:rsid w:val="00735351"/>
    <w:rsid w:val="00740DE3"/>
    <w:rsid w:val="00740E03"/>
    <w:rsid w:val="007429B8"/>
    <w:rsid w:val="007431D7"/>
    <w:rsid w:val="00744915"/>
    <w:rsid w:val="0075068C"/>
    <w:rsid w:val="00753508"/>
    <w:rsid w:val="00762F43"/>
    <w:rsid w:val="00767D0C"/>
    <w:rsid w:val="00775C11"/>
    <w:rsid w:val="00775D44"/>
    <w:rsid w:val="007810F7"/>
    <w:rsid w:val="007838EE"/>
    <w:rsid w:val="00785BAB"/>
    <w:rsid w:val="007865D0"/>
    <w:rsid w:val="00786FC9"/>
    <w:rsid w:val="00791E5D"/>
    <w:rsid w:val="00792E58"/>
    <w:rsid w:val="007A20FE"/>
    <w:rsid w:val="007A2395"/>
    <w:rsid w:val="007A4586"/>
    <w:rsid w:val="007A5AF9"/>
    <w:rsid w:val="007B0465"/>
    <w:rsid w:val="007B5435"/>
    <w:rsid w:val="007B5FF1"/>
    <w:rsid w:val="007C03E7"/>
    <w:rsid w:val="007C0A03"/>
    <w:rsid w:val="007C3042"/>
    <w:rsid w:val="007C3419"/>
    <w:rsid w:val="007C3E8E"/>
    <w:rsid w:val="007C45F4"/>
    <w:rsid w:val="007D37C5"/>
    <w:rsid w:val="007D7D30"/>
    <w:rsid w:val="007E0E3B"/>
    <w:rsid w:val="007E33C9"/>
    <w:rsid w:val="007E5CB2"/>
    <w:rsid w:val="007E6912"/>
    <w:rsid w:val="007F388F"/>
    <w:rsid w:val="00801634"/>
    <w:rsid w:val="00801B31"/>
    <w:rsid w:val="00802B7E"/>
    <w:rsid w:val="00806A3D"/>
    <w:rsid w:val="00807286"/>
    <w:rsid w:val="008128CA"/>
    <w:rsid w:val="00813376"/>
    <w:rsid w:val="00814824"/>
    <w:rsid w:val="00815809"/>
    <w:rsid w:val="00820F05"/>
    <w:rsid w:val="00823344"/>
    <w:rsid w:val="00824E31"/>
    <w:rsid w:val="008301E3"/>
    <w:rsid w:val="00835D97"/>
    <w:rsid w:val="00844318"/>
    <w:rsid w:val="00845F19"/>
    <w:rsid w:val="008503C0"/>
    <w:rsid w:val="00855018"/>
    <w:rsid w:val="00861330"/>
    <w:rsid w:val="00861CDF"/>
    <w:rsid w:val="00861F6C"/>
    <w:rsid w:val="00865321"/>
    <w:rsid w:val="0087202F"/>
    <w:rsid w:val="00872495"/>
    <w:rsid w:val="008751AA"/>
    <w:rsid w:val="00881686"/>
    <w:rsid w:val="00885AA9"/>
    <w:rsid w:val="008876B5"/>
    <w:rsid w:val="0089060D"/>
    <w:rsid w:val="00890E98"/>
    <w:rsid w:val="00894637"/>
    <w:rsid w:val="00895E51"/>
    <w:rsid w:val="008979DE"/>
    <w:rsid w:val="008A2E06"/>
    <w:rsid w:val="008A47D9"/>
    <w:rsid w:val="008A5370"/>
    <w:rsid w:val="008B2632"/>
    <w:rsid w:val="008B4DA2"/>
    <w:rsid w:val="008C2A2F"/>
    <w:rsid w:val="008C30BC"/>
    <w:rsid w:val="008C78DF"/>
    <w:rsid w:val="008D1942"/>
    <w:rsid w:val="008D2361"/>
    <w:rsid w:val="008D29CC"/>
    <w:rsid w:val="008D658A"/>
    <w:rsid w:val="008E6A7D"/>
    <w:rsid w:val="008F0D09"/>
    <w:rsid w:val="008F1494"/>
    <w:rsid w:val="008F3892"/>
    <w:rsid w:val="008F40A2"/>
    <w:rsid w:val="008F565B"/>
    <w:rsid w:val="008F6420"/>
    <w:rsid w:val="009012F3"/>
    <w:rsid w:val="00904968"/>
    <w:rsid w:val="0091055A"/>
    <w:rsid w:val="00914333"/>
    <w:rsid w:val="00920093"/>
    <w:rsid w:val="00922389"/>
    <w:rsid w:val="009249BA"/>
    <w:rsid w:val="0092631C"/>
    <w:rsid w:val="0093149C"/>
    <w:rsid w:val="009455C9"/>
    <w:rsid w:val="009535CC"/>
    <w:rsid w:val="0096775F"/>
    <w:rsid w:val="0097735A"/>
    <w:rsid w:val="00980371"/>
    <w:rsid w:val="00982B2D"/>
    <w:rsid w:val="009853EA"/>
    <w:rsid w:val="009854C7"/>
    <w:rsid w:val="00987B07"/>
    <w:rsid w:val="00997CC2"/>
    <w:rsid w:val="00997E74"/>
    <w:rsid w:val="009A3CC2"/>
    <w:rsid w:val="009B254B"/>
    <w:rsid w:val="009B2D79"/>
    <w:rsid w:val="009B57F2"/>
    <w:rsid w:val="009B65B1"/>
    <w:rsid w:val="009B695B"/>
    <w:rsid w:val="009B6985"/>
    <w:rsid w:val="009C1BD6"/>
    <w:rsid w:val="009C422B"/>
    <w:rsid w:val="009D47C6"/>
    <w:rsid w:val="009D613B"/>
    <w:rsid w:val="009D6AE7"/>
    <w:rsid w:val="009E2749"/>
    <w:rsid w:val="009E3CB1"/>
    <w:rsid w:val="009F168B"/>
    <w:rsid w:val="009F21E4"/>
    <w:rsid w:val="009F24AC"/>
    <w:rsid w:val="009F63C6"/>
    <w:rsid w:val="009F7E56"/>
    <w:rsid w:val="00A00C44"/>
    <w:rsid w:val="00A018E8"/>
    <w:rsid w:val="00A04BD5"/>
    <w:rsid w:val="00A07F24"/>
    <w:rsid w:val="00A12A20"/>
    <w:rsid w:val="00A17C9F"/>
    <w:rsid w:val="00A2035A"/>
    <w:rsid w:val="00A22A21"/>
    <w:rsid w:val="00A2372C"/>
    <w:rsid w:val="00A23B60"/>
    <w:rsid w:val="00A24E96"/>
    <w:rsid w:val="00A254D4"/>
    <w:rsid w:val="00A2770F"/>
    <w:rsid w:val="00A32BC8"/>
    <w:rsid w:val="00A34C93"/>
    <w:rsid w:val="00A3507C"/>
    <w:rsid w:val="00A47ACF"/>
    <w:rsid w:val="00A519AD"/>
    <w:rsid w:val="00A545C0"/>
    <w:rsid w:val="00A5621A"/>
    <w:rsid w:val="00A56873"/>
    <w:rsid w:val="00A57561"/>
    <w:rsid w:val="00A57D6E"/>
    <w:rsid w:val="00A61644"/>
    <w:rsid w:val="00A83792"/>
    <w:rsid w:val="00A9310A"/>
    <w:rsid w:val="00A94155"/>
    <w:rsid w:val="00A94481"/>
    <w:rsid w:val="00AB5C76"/>
    <w:rsid w:val="00AB6DE2"/>
    <w:rsid w:val="00AC60B7"/>
    <w:rsid w:val="00AC702D"/>
    <w:rsid w:val="00AC73EB"/>
    <w:rsid w:val="00AD0575"/>
    <w:rsid w:val="00AD1BCD"/>
    <w:rsid w:val="00AD700A"/>
    <w:rsid w:val="00AD7CE6"/>
    <w:rsid w:val="00AE01EC"/>
    <w:rsid w:val="00AE0FE6"/>
    <w:rsid w:val="00AE1EBE"/>
    <w:rsid w:val="00AE34AF"/>
    <w:rsid w:val="00AE3D09"/>
    <w:rsid w:val="00AE3F0F"/>
    <w:rsid w:val="00AE51B3"/>
    <w:rsid w:val="00AE54F9"/>
    <w:rsid w:val="00AF3DDE"/>
    <w:rsid w:val="00AF737E"/>
    <w:rsid w:val="00B00347"/>
    <w:rsid w:val="00B012A2"/>
    <w:rsid w:val="00B0453C"/>
    <w:rsid w:val="00B04B83"/>
    <w:rsid w:val="00B06AA9"/>
    <w:rsid w:val="00B21178"/>
    <w:rsid w:val="00B220FB"/>
    <w:rsid w:val="00B25A87"/>
    <w:rsid w:val="00B35BA6"/>
    <w:rsid w:val="00B366A9"/>
    <w:rsid w:val="00B37238"/>
    <w:rsid w:val="00B4118D"/>
    <w:rsid w:val="00B4709F"/>
    <w:rsid w:val="00B51724"/>
    <w:rsid w:val="00B55D1B"/>
    <w:rsid w:val="00B603B7"/>
    <w:rsid w:val="00B627C9"/>
    <w:rsid w:val="00B674AD"/>
    <w:rsid w:val="00B76149"/>
    <w:rsid w:val="00B77D80"/>
    <w:rsid w:val="00B808A2"/>
    <w:rsid w:val="00B83479"/>
    <w:rsid w:val="00BA6714"/>
    <w:rsid w:val="00BB0158"/>
    <w:rsid w:val="00BB6217"/>
    <w:rsid w:val="00BB6CDE"/>
    <w:rsid w:val="00BC0AEE"/>
    <w:rsid w:val="00BC0E4E"/>
    <w:rsid w:val="00BC0FAF"/>
    <w:rsid w:val="00BC7CCF"/>
    <w:rsid w:val="00BD1B76"/>
    <w:rsid w:val="00BD4AC1"/>
    <w:rsid w:val="00BD55AD"/>
    <w:rsid w:val="00BE0449"/>
    <w:rsid w:val="00C0098B"/>
    <w:rsid w:val="00C00DA6"/>
    <w:rsid w:val="00C034DC"/>
    <w:rsid w:val="00C03A34"/>
    <w:rsid w:val="00C04A20"/>
    <w:rsid w:val="00C05C14"/>
    <w:rsid w:val="00C1102B"/>
    <w:rsid w:val="00C152BF"/>
    <w:rsid w:val="00C242BE"/>
    <w:rsid w:val="00C24DC3"/>
    <w:rsid w:val="00C3120D"/>
    <w:rsid w:val="00C31672"/>
    <w:rsid w:val="00C335CC"/>
    <w:rsid w:val="00C3429C"/>
    <w:rsid w:val="00C34AB7"/>
    <w:rsid w:val="00C37C99"/>
    <w:rsid w:val="00C46EE1"/>
    <w:rsid w:val="00C470D5"/>
    <w:rsid w:val="00C5109F"/>
    <w:rsid w:val="00C5279F"/>
    <w:rsid w:val="00C53C37"/>
    <w:rsid w:val="00C54DF0"/>
    <w:rsid w:val="00C54FAC"/>
    <w:rsid w:val="00C55EF6"/>
    <w:rsid w:val="00C60CD9"/>
    <w:rsid w:val="00C64611"/>
    <w:rsid w:val="00C647E6"/>
    <w:rsid w:val="00C65843"/>
    <w:rsid w:val="00C67F8B"/>
    <w:rsid w:val="00C74D2E"/>
    <w:rsid w:val="00C77542"/>
    <w:rsid w:val="00C7789B"/>
    <w:rsid w:val="00C80BA5"/>
    <w:rsid w:val="00C856C6"/>
    <w:rsid w:val="00C86FEB"/>
    <w:rsid w:val="00C87B55"/>
    <w:rsid w:val="00C90A55"/>
    <w:rsid w:val="00C949A0"/>
    <w:rsid w:val="00C95791"/>
    <w:rsid w:val="00CA3467"/>
    <w:rsid w:val="00CA77C4"/>
    <w:rsid w:val="00CB434C"/>
    <w:rsid w:val="00CB46AD"/>
    <w:rsid w:val="00CC4D61"/>
    <w:rsid w:val="00CC5FAC"/>
    <w:rsid w:val="00CC62B7"/>
    <w:rsid w:val="00CD1C53"/>
    <w:rsid w:val="00CE649D"/>
    <w:rsid w:val="00CE7A7A"/>
    <w:rsid w:val="00CF0B4D"/>
    <w:rsid w:val="00CF43FB"/>
    <w:rsid w:val="00D05E43"/>
    <w:rsid w:val="00D063CC"/>
    <w:rsid w:val="00D069F4"/>
    <w:rsid w:val="00D13745"/>
    <w:rsid w:val="00D21201"/>
    <w:rsid w:val="00D22C68"/>
    <w:rsid w:val="00D22E80"/>
    <w:rsid w:val="00D23839"/>
    <w:rsid w:val="00D3143A"/>
    <w:rsid w:val="00D3519A"/>
    <w:rsid w:val="00D40FBA"/>
    <w:rsid w:val="00D43E2C"/>
    <w:rsid w:val="00D50B4B"/>
    <w:rsid w:val="00D51B7D"/>
    <w:rsid w:val="00D6290A"/>
    <w:rsid w:val="00D62D02"/>
    <w:rsid w:val="00D64BC2"/>
    <w:rsid w:val="00D66570"/>
    <w:rsid w:val="00D66A98"/>
    <w:rsid w:val="00D711EA"/>
    <w:rsid w:val="00D71DA5"/>
    <w:rsid w:val="00D7254D"/>
    <w:rsid w:val="00D72D55"/>
    <w:rsid w:val="00D87BEF"/>
    <w:rsid w:val="00D92E8C"/>
    <w:rsid w:val="00D9508E"/>
    <w:rsid w:val="00DA11DF"/>
    <w:rsid w:val="00DA491D"/>
    <w:rsid w:val="00DA50B1"/>
    <w:rsid w:val="00DA6F7E"/>
    <w:rsid w:val="00DA74EF"/>
    <w:rsid w:val="00DC3A18"/>
    <w:rsid w:val="00DC6A56"/>
    <w:rsid w:val="00DD215A"/>
    <w:rsid w:val="00DD6267"/>
    <w:rsid w:val="00DD73FF"/>
    <w:rsid w:val="00DE008A"/>
    <w:rsid w:val="00DE1100"/>
    <w:rsid w:val="00DE237C"/>
    <w:rsid w:val="00DF0698"/>
    <w:rsid w:val="00DF3AD9"/>
    <w:rsid w:val="00DF5D14"/>
    <w:rsid w:val="00E0180B"/>
    <w:rsid w:val="00E02C99"/>
    <w:rsid w:val="00E04093"/>
    <w:rsid w:val="00E04783"/>
    <w:rsid w:val="00E05678"/>
    <w:rsid w:val="00E11712"/>
    <w:rsid w:val="00E12EFF"/>
    <w:rsid w:val="00E15E42"/>
    <w:rsid w:val="00E165B9"/>
    <w:rsid w:val="00E22336"/>
    <w:rsid w:val="00E26946"/>
    <w:rsid w:val="00E30896"/>
    <w:rsid w:val="00E310D6"/>
    <w:rsid w:val="00E35E98"/>
    <w:rsid w:val="00E40688"/>
    <w:rsid w:val="00E40FAF"/>
    <w:rsid w:val="00E43178"/>
    <w:rsid w:val="00E4342A"/>
    <w:rsid w:val="00E4387A"/>
    <w:rsid w:val="00E45044"/>
    <w:rsid w:val="00E46EC0"/>
    <w:rsid w:val="00E51D2C"/>
    <w:rsid w:val="00E555F6"/>
    <w:rsid w:val="00E629ED"/>
    <w:rsid w:val="00E6533E"/>
    <w:rsid w:val="00E67D63"/>
    <w:rsid w:val="00E74EE0"/>
    <w:rsid w:val="00E81312"/>
    <w:rsid w:val="00E81A7A"/>
    <w:rsid w:val="00E92667"/>
    <w:rsid w:val="00E951EB"/>
    <w:rsid w:val="00E969E0"/>
    <w:rsid w:val="00E96E97"/>
    <w:rsid w:val="00EA0F09"/>
    <w:rsid w:val="00EA1613"/>
    <w:rsid w:val="00EB6131"/>
    <w:rsid w:val="00EB7476"/>
    <w:rsid w:val="00EC4847"/>
    <w:rsid w:val="00ED124B"/>
    <w:rsid w:val="00ED4F3D"/>
    <w:rsid w:val="00ED504A"/>
    <w:rsid w:val="00EE129B"/>
    <w:rsid w:val="00EE158D"/>
    <w:rsid w:val="00EE1BEA"/>
    <w:rsid w:val="00EE726C"/>
    <w:rsid w:val="00EF11B0"/>
    <w:rsid w:val="00EF319C"/>
    <w:rsid w:val="00EF692D"/>
    <w:rsid w:val="00EF69A4"/>
    <w:rsid w:val="00F009C3"/>
    <w:rsid w:val="00F02005"/>
    <w:rsid w:val="00F024DD"/>
    <w:rsid w:val="00F03DD6"/>
    <w:rsid w:val="00F07ABD"/>
    <w:rsid w:val="00F1275B"/>
    <w:rsid w:val="00F14885"/>
    <w:rsid w:val="00F21D52"/>
    <w:rsid w:val="00F2232B"/>
    <w:rsid w:val="00F23F8E"/>
    <w:rsid w:val="00F25C9C"/>
    <w:rsid w:val="00F26AD5"/>
    <w:rsid w:val="00F31600"/>
    <w:rsid w:val="00F34A28"/>
    <w:rsid w:val="00F415F0"/>
    <w:rsid w:val="00F46955"/>
    <w:rsid w:val="00F46E82"/>
    <w:rsid w:val="00F50112"/>
    <w:rsid w:val="00F52428"/>
    <w:rsid w:val="00F52B27"/>
    <w:rsid w:val="00F53B3A"/>
    <w:rsid w:val="00F57E2E"/>
    <w:rsid w:val="00F60ADD"/>
    <w:rsid w:val="00F60B6D"/>
    <w:rsid w:val="00F62FBF"/>
    <w:rsid w:val="00F75759"/>
    <w:rsid w:val="00F821FE"/>
    <w:rsid w:val="00F83E8A"/>
    <w:rsid w:val="00F87F55"/>
    <w:rsid w:val="00F93032"/>
    <w:rsid w:val="00F9330A"/>
    <w:rsid w:val="00F939F9"/>
    <w:rsid w:val="00F93B26"/>
    <w:rsid w:val="00FB0A7D"/>
    <w:rsid w:val="00FB19CF"/>
    <w:rsid w:val="00FB48F0"/>
    <w:rsid w:val="00FB720C"/>
    <w:rsid w:val="00FB7A4E"/>
    <w:rsid w:val="00FC46EB"/>
    <w:rsid w:val="00FC49B9"/>
    <w:rsid w:val="00FC4E18"/>
    <w:rsid w:val="00FC6224"/>
    <w:rsid w:val="00FD00AF"/>
    <w:rsid w:val="00FD0E64"/>
    <w:rsid w:val="00FD1C3C"/>
    <w:rsid w:val="00FD27C6"/>
    <w:rsid w:val="00FD61DE"/>
    <w:rsid w:val="00FD6D8F"/>
    <w:rsid w:val="00FE0CC2"/>
    <w:rsid w:val="00FE54A1"/>
    <w:rsid w:val="00FE5E7C"/>
    <w:rsid w:val="00FF08E5"/>
    <w:rsid w:val="00FF17C5"/>
    <w:rsid w:val="00FF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5ADD75-1AA9-4FA9-9413-BAD3570B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FAF"/>
    <w:rPr>
      <w:sz w:val="28"/>
      <w:szCs w:val="28"/>
      <w:lang w:val="en-GB"/>
    </w:rPr>
  </w:style>
  <w:style w:type="paragraph" w:styleId="Heading1">
    <w:name w:val="heading 1"/>
    <w:basedOn w:val="Normal"/>
    <w:next w:val="Normal"/>
    <w:link w:val="Heading1Char"/>
    <w:qFormat/>
    <w:rsid w:val="001108C0"/>
    <w:pPr>
      <w:keepNext/>
      <w:spacing w:before="240" w:after="60"/>
      <w:outlineLvl w:val="0"/>
    </w:pPr>
    <w:rPr>
      <w:rFonts w:eastAsia="SimSun"/>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rsid w:val="00BC0FAF"/>
    <w:pPr>
      <w:spacing w:after="160" w:line="240" w:lineRule="exact"/>
    </w:pPr>
    <w:rPr>
      <w:rFonts w:ascii="Verdana" w:hAnsi="Verdana" w:cs="Verdana"/>
      <w:sz w:val="20"/>
      <w:szCs w:val="20"/>
    </w:rPr>
  </w:style>
  <w:style w:type="paragraph" w:styleId="Footer">
    <w:name w:val="footer"/>
    <w:basedOn w:val="Normal"/>
    <w:link w:val="FooterChar"/>
    <w:uiPriority w:val="99"/>
    <w:rsid w:val="00BC0FAF"/>
    <w:pPr>
      <w:tabs>
        <w:tab w:val="center" w:pos="4320"/>
        <w:tab w:val="right" w:pos="8640"/>
      </w:tabs>
    </w:pPr>
    <w:rPr>
      <w:rFonts w:ascii="UVnTime" w:hAnsi="UVnTime"/>
      <w:sz w:val="26"/>
      <w:szCs w:val="24"/>
    </w:rPr>
  </w:style>
  <w:style w:type="character" w:styleId="PageNumber">
    <w:name w:val="page number"/>
    <w:basedOn w:val="DefaultParagraphFont"/>
    <w:rsid w:val="00BC0FAF"/>
  </w:style>
  <w:style w:type="paragraph" w:styleId="NormalWeb">
    <w:name w:val="Normal (Web)"/>
    <w:basedOn w:val="Normal"/>
    <w:rsid w:val="00BC0FAF"/>
    <w:pPr>
      <w:spacing w:before="100" w:beforeAutospacing="1" w:after="100" w:afterAutospacing="1"/>
    </w:pPr>
    <w:rPr>
      <w:sz w:val="24"/>
      <w:szCs w:val="24"/>
    </w:rPr>
  </w:style>
  <w:style w:type="paragraph" w:styleId="BodyText">
    <w:name w:val="Body Text"/>
    <w:basedOn w:val="Normal"/>
    <w:link w:val="BodyTextChar"/>
    <w:rsid w:val="00BC0FAF"/>
    <w:pPr>
      <w:jc w:val="center"/>
    </w:pPr>
    <w:rPr>
      <w:rFonts w:ascii=".VnTimeH" w:hAnsi=".VnTimeH"/>
      <w:b/>
      <w:bCs/>
      <w:szCs w:val="26"/>
    </w:rPr>
  </w:style>
  <w:style w:type="character" w:customStyle="1" w:styleId="BodyTextChar">
    <w:name w:val="Body Text Char"/>
    <w:link w:val="BodyText"/>
    <w:rsid w:val="00BC0FAF"/>
    <w:rPr>
      <w:rFonts w:ascii=".VnTimeH" w:hAnsi=".VnTimeH"/>
      <w:b/>
      <w:bCs/>
      <w:sz w:val="28"/>
      <w:szCs w:val="26"/>
      <w:lang w:val="en-US" w:eastAsia="en-US" w:bidi="ar-SA"/>
    </w:rPr>
  </w:style>
  <w:style w:type="paragraph" w:customStyle="1" w:styleId="bodytext-p">
    <w:name w:val="bodytext-p"/>
    <w:basedOn w:val="Normal"/>
    <w:rsid w:val="00BC0FAF"/>
    <w:pPr>
      <w:jc w:val="both"/>
    </w:pPr>
    <w:rPr>
      <w:sz w:val="20"/>
      <w:szCs w:val="20"/>
    </w:rPr>
  </w:style>
  <w:style w:type="paragraph" w:styleId="BodyTextIndent2">
    <w:name w:val="Body Text Indent 2"/>
    <w:basedOn w:val="Normal"/>
    <w:rsid w:val="00BC0FAF"/>
    <w:pPr>
      <w:spacing w:after="120" w:line="480" w:lineRule="auto"/>
      <w:ind w:left="283"/>
    </w:pPr>
  </w:style>
  <w:style w:type="character" w:customStyle="1" w:styleId="apple-converted-space">
    <w:name w:val="apple-converted-space"/>
    <w:basedOn w:val="DefaultParagraphFont"/>
    <w:rsid w:val="000170B3"/>
  </w:style>
  <w:style w:type="character" w:styleId="Strong">
    <w:name w:val="Strong"/>
    <w:qFormat/>
    <w:rsid w:val="000170B3"/>
    <w:rPr>
      <w:b/>
      <w:bCs/>
    </w:rPr>
  </w:style>
  <w:style w:type="paragraph" w:styleId="FootnoteText">
    <w:name w:val="footnote text"/>
    <w:basedOn w:val="Normal"/>
    <w:semiHidden/>
    <w:rsid w:val="000B13E3"/>
    <w:rPr>
      <w:sz w:val="20"/>
      <w:szCs w:val="20"/>
    </w:rPr>
  </w:style>
  <w:style w:type="character" w:styleId="FootnoteReference">
    <w:name w:val="footnote reference"/>
    <w:semiHidden/>
    <w:rsid w:val="000B13E3"/>
    <w:rPr>
      <w:vertAlign w:val="superscript"/>
    </w:rPr>
  </w:style>
  <w:style w:type="character" w:customStyle="1" w:styleId="Heading1Char">
    <w:name w:val="Heading 1 Char"/>
    <w:link w:val="Heading1"/>
    <w:uiPriority w:val="9"/>
    <w:rsid w:val="001108C0"/>
    <w:rPr>
      <w:rFonts w:ascii="Times New Roman" w:eastAsia="SimSun" w:hAnsi="Times New Roman" w:cs="Times New Roman"/>
      <w:b/>
      <w:bCs/>
      <w:kern w:val="32"/>
      <w:sz w:val="32"/>
      <w:szCs w:val="32"/>
      <w:lang w:val="en-US" w:eastAsia="en-US"/>
    </w:rPr>
  </w:style>
  <w:style w:type="paragraph" w:styleId="ListParagraph">
    <w:name w:val="List Paragraph"/>
    <w:basedOn w:val="Normal"/>
    <w:uiPriority w:val="34"/>
    <w:qFormat/>
    <w:rsid w:val="00820F05"/>
    <w:pPr>
      <w:autoSpaceDE w:val="0"/>
      <w:autoSpaceDN w:val="0"/>
      <w:ind w:left="720"/>
      <w:contextualSpacing/>
    </w:pPr>
    <w:rPr>
      <w:sz w:val="20"/>
      <w:szCs w:val="20"/>
      <w:lang w:val="en-US"/>
    </w:rPr>
  </w:style>
  <w:style w:type="paragraph" w:styleId="BalloonText">
    <w:name w:val="Balloon Text"/>
    <w:basedOn w:val="Normal"/>
    <w:link w:val="BalloonTextChar"/>
    <w:rsid w:val="006D07C5"/>
    <w:rPr>
      <w:rFonts w:ascii="Segoe UI" w:hAnsi="Segoe UI" w:cs="Segoe UI"/>
      <w:sz w:val="18"/>
      <w:szCs w:val="18"/>
    </w:rPr>
  </w:style>
  <w:style w:type="character" w:customStyle="1" w:styleId="BalloonTextChar">
    <w:name w:val="Balloon Text Char"/>
    <w:link w:val="BalloonText"/>
    <w:rsid w:val="006D07C5"/>
    <w:rPr>
      <w:rFonts w:ascii="Segoe UI" w:hAnsi="Segoe UI" w:cs="Segoe UI"/>
      <w:sz w:val="18"/>
      <w:szCs w:val="18"/>
      <w:lang w:val="en-GB"/>
    </w:rPr>
  </w:style>
  <w:style w:type="paragraph" w:styleId="Header">
    <w:name w:val="header"/>
    <w:basedOn w:val="Normal"/>
    <w:link w:val="HeaderChar"/>
    <w:uiPriority w:val="99"/>
    <w:rsid w:val="00000CA2"/>
    <w:pPr>
      <w:tabs>
        <w:tab w:val="center" w:pos="4680"/>
        <w:tab w:val="right" w:pos="9360"/>
      </w:tabs>
    </w:pPr>
  </w:style>
  <w:style w:type="character" w:customStyle="1" w:styleId="HeaderChar">
    <w:name w:val="Header Char"/>
    <w:link w:val="Header"/>
    <w:uiPriority w:val="99"/>
    <w:rsid w:val="00000CA2"/>
    <w:rPr>
      <w:sz w:val="28"/>
      <w:szCs w:val="28"/>
      <w:lang w:val="en-GB"/>
    </w:rPr>
  </w:style>
  <w:style w:type="character" w:customStyle="1" w:styleId="FooterChar">
    <w:name w:val="Footer Char"/>
    <w:link w:val="Footer"/>
    <w:uiPriority w:val="99"/>
    <w:rsid w:val="00000CA2"/>
    <w:rPr>
      <w:rFonts w:ascii="UVnTime" w:hAnsi="UVnTime"/>
      <w:sz w:val="26"/>
      <w:szCs w:val="24"/>
      <w:lang w:val="en-GB"/>
    </w:rPr>
  </w:style>
  <w:style w:type="paragraph" w:customStyle="1" w:styleId="CharCharCharChar">
    <w:name w:val=" Char Char Char Char"/>
    <w:basedOn w:val="Normal"/>
    <w:next w:val="Normal"/>
    <w:autoRedefine/>
    <w:semiHidden/>
    <w:rsid w:val="00F46955"/>
    <w:pPr>
      <w:spacing w:before="120" w:after="120" w:line="312" w:lineRule="auto"/>
    </w:pPr>
    <w:rPr>
      <w:szCs w:val="22"/>
      <w:lang w:val="en-US"/>
    </w:rPr>
  </w:style>
  <w:style w:type="character" w:customStyle="1" w:styleId="normal-h1">
    <w:name w:val="normal-h1"/>
    <w:rsid w:val="007A5AF9"/>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93656">
      <w:bodyDiv w:val="1"/>
      <w:marLeft w:val="0"/>
      <w:marRight w:val="0"/>
      <w:marTop w:val="0"/>
      <w:marBottom w:val="0"/>
      <w:divBdr>
        <w:top w:val="none" w:sz="0" w:space="0" w:color="auto"/>
        <w:left w:val="none" w:sz="0" w:space="0" w:color="auto"/>
        <w:bottom w:val="none" w:sz="0" w:space="0" w:color="auto"/>
        <w:right w:val="none" w:sz="0" w:space="0" w:color="auto"/>
      </w:divBdr>
    </w:div>
    <w:div w:id="575436057">
      <w:bodyDiv w:val="1"/>
      <w:marLeft w:val="0"/>
      <w:marRight w:val="0"/>
      <w:marTop w:val="0"/>
      <w:marBottom w:val="0"/>
      <w:divBdr>
        <w:top w:val="none" w:sz="0" w:space="0" w:color="auto"/>
        <w:left w:val="none" w:sz="0" w:space="0" w:color="auto"/>
        <w:bottom w:val="none" w:sz="0" w:space="0" w:color="auto"/>
        <w:right w:val="none" w:sz="0" w:space="0" w:color="auto"/>
      </w:divBdr>
      <w:divsChild>
        <w:div w:id="449790038">
          <w:marLeft w:val="0"/>
          <w:marRight w:val="0"/>
          <w:marTop w:val="0"/>
          <w:marBottom w:val="0"/>
          <w:divBdr>
            <w:top w:val="none" w:sz="0" w:space="0" w:color="auto"/>
            <w:left w:val="none" w:sz="0" w:space="0" w:color="auto"/>
            <w:bottom w:val="none" w:sz="0" w:space="0" w:color="auto"/>
            <w:right w:val="none" w:sz="0" w:space="0" w:color="auto"/>
          </w:divBdr>
        </w:div>
        <w:div w:id="674235006">
          <w:marLeft w:val="0"/>
          <w:marRight w:val="0"/>
          <w:marTop w:val="0"/>
          <w:marBottom w:val="0"/>
          <w:divBdr>
            <w:top w:val="none" w:sz="0" w:space="0" w:color="auto"/>
            <w:left w:val="none" w:sz="0" w:space="0" w:color="auto"/>
            <w:bottom w:val="none" w:sz="0" w:space="0" w:color="auto"/>
            <w:right w:val="none" w:sz="0" w:space="0" w:color="auto"/>
          </w:divBdr>
        </w:div>
        <w:div w:id="966469369">
          <w:marLeft w:val="0"/>
          <w:marRight w:val="0"/>
          <w:marTop w:val="0"/>
          <w:marBottom w:val="0"/>
          <w:divBdr>
            <w:top w:val="none" w:sz="0" w:space="0" w:color="auto"/>
            <w:left w:val="none" w:sz="0" w:space="0" w:color="auto"/>
            <w:bottom w:val="none" w:sz="0" w:space="0" w:color="auto"/>
            <w:right w:val="none" w:sz="0" w:space="0" w:color="auto"/>
          </w:divBdr>
        </w:div>
        <w:div w:id="1855875127">
          <w:marLeft w:val="0"/>
          <w:marRight w:val="0"/>
          <w:marTop w:val="0"/>
          <w:marBottom w:val="0"/>
          <w:divBdr>
            <w:top w:val="none" w:sz="0" w:space="0" w:color="auto"/>
            <w:left w:val="none" w:sz="0" w:space="0" w:color="auto"/>
            <w:bottom w:val="none" w:sz="0" w:space="0" w:color="auto"/>
            <w:right w:val="none" w:sz="0" w:space="0" w:color="auto"/>
          </w:divBdr>
        </w:div>
      </w:divsChild>
    </w:div>
    <w:div w:id="11561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6F98B-3BF0-4DB5-9BDC-E89F3C524421}">
  <ds:schemaRefs>
    <ds:schemaRef ds:uri="http://schemas.openxmlformats.org/officeDocument/2006/bibliography"/>
  </ds:schemaRefs>
</ds:datastoreItem>
</file>

<file path=customXml/itemProps2.xml><?xml version="1.0" encoding="utf-8"?>
<ds:datastoreItem xmlns:ds="http://schemas.openxmlformats.org/officeDocument/2006/customXml" ds:itemID="{E76CB82B-6ABD-4198-B9AC-55D6195FAB77}"/>
</file>

<file path=customXml/itemProps3.xml><?xml version="1.0" encoding="utf-8"?>
<ds:datastoreItem xmlns:ds="http://schemas.openxmlformats.org/officeDocument/2006/customXml" ds:itemID="{883EBCF8-F341-48CA-BBAF-36528E694766}"/>
</file>

<file path=customXml/itemProps4.xml><?xml version="1.0" encoding="utf-8"?>
<ds:datastoreItem xmlns:ds="http://schemas.openxmlformats.org/officeDocument/2006/customXml" ds:itemID="{05B5E430-8A8B-4706-8066-41A9C9E982EC}"/>
</file>

<file path=docProps/app.xml><?xml version="1.0" encoding="utf-8"?>
<Properties xmlns="http://schemas.openxmlformats.org/officeDocument/2006/extended-properties" xmlns:vt="http://schemas.openxmlformats.org/officeDocument/2006/docPropsVTypes">
  <Template>Normal.dotm</Template>
  <TotalTime>1</TotalTime>
  <Pages>5</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BỘ NỘI VỤ</vt:lpstr>
    </vt:vector>
  </TitlesOfParts>
  <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subject/>
  <dc:creator>P8H61</dc:creator>
  <cp:keywords/>
  <dc:description/>
  <cp:lastModifiedBy>Nguyen Duc Nghia</cp:lastModifiedBy>
  <cp:revision>2</cp:revision>
  <cp:lastPrinted>2020-03-31T08:54:00Z</cp:lastPrinted>
  <dcterms:created xsi:type="dcterms:W3CDTF">2020-09-10T10:17:00Z</dcterms:created>
  <dcterms:modified xsi:type="dcterms:W3CDTF">2020-09-10T10:17:00Z</dcterms:modified>
</cp:coreProperties>
</file>